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426" w:rsidRDefault="00075426" w:rsidP="0044208E">
      <w:pPr>
        <w:jc w:val="center"/>
        <w:rPr>
          <w:b/>
          <w:sz w:val="56"/>
          <w:szCs w:val="56"/>
        </w:rPr>
      </w:pPr>
    </w:p>
    <w:p w:rsidR="00075426" w:rsidRDefault="00075426" w:rsidP="0044208E">
      <w:pPr>
        <w:jc w:val="center"/>
        <w:rPr>
          <w:b/>
          <w:sz w:val="56"/>
          <w:szCs w:val="56"/>
        </w:rPr>
      </w:pPr>
    </w:p>
    <w:p w:rsidR="0044208E" w:rsidRPr="00075426" w:rsidRDefault="0044208E" w:rsidP="0044208E">
      <w:pPr>
        <w:jc w:val="center"/>
        <w:rPr>
          <w:b/>
          <w:sz w:val="48"/>
          <w:szCs w:val="48"/>
        </w:rPr>
      </w:pPr>
      <w:r w:rsidRPr="00075426">
        <w:rPr>
          <w:b/>
          <w:sz w:val="48"/>
          <w:szCs w:val="48"/>
        </w:rPr>
        <w:t>MDC Local Plan Part II</w:t>
      </w:r>
    </w:p>
    <w:p w:rsidR="0044208E" w:rsidRDefault="0044208E" w:rsidP="0044208E">
      <w:pPr>
        <w:jc w:val="center"/>
        <w:rPr>
          <w:b/>
          <w:sz w:val="48"/>
          <w:szCs w:val="48"/>
        </w:rPr>
      </w:pPr>
      <w:r w:rsidRPr="00075426">
        <w:rPr>
          <w:b/>
          <w:sz w:val="48"/>
          <w:szCs w:val="48"/>
        </w:rPr>
        <w:t>Main Modifications MM66-MM69</w:t>
      </w:r>
    </w:p>
    <w:p w:rsidR="00075426" w:rsidRDefault="00075426" w:rsidP="0044208E">
      <w:pPr>
        <w:jc w:val="center"/>
        <w:rPr>
          <w:b/>
          <w:sz w:val="48"/>
          <w:szCs w:val="48"/>
        </w:rPr>
      </w:pPr>
    </w:p>
    <w:p w:rsidR="00075426" w:rsidRPr="00075426" w:rsidRDefault="00075426" w:rsidP="00075426">
      <w:pPr>
        <w:jc w:val="center"/>
        <w:rPr>
          <w:b/>
          <w:sz w:val="144"/>
          <w:szCs w:val="144"/>
        </w:rPr>
      </w:pPr>
      <w:proofErr w:type="spellStart"/>
      <w:r w:rsidRPr="00075426">
        <w:rPr>
          <w:b/>
          <w:sz w:val="144"/>
          <w:szCs w:val="144"/>
        </w:rPr>
        <w:t>Beckington</w:t>
      </w:r>
      <w:proofErr w:type="spellEnd"/>
    </w:p>
    <w:p w:rsidR="00075426" w:rsidRPr="00075426" w:rsidRDefault="00075426" w:rsidP="0044208E">
      <w:pPr>
        <w:jc w:val="center"/>
        <w:rPr>
          <w:b/>
          <w:sz w:val="48"/>
          <w:szCs w:val="48"/>
        </w:rPr>
      </w:pPr>
    </w:p>
    <w:p w:rsidR="00075426" w:rsidRPr="00075426" w:rsidRDefault="00075426" w:rsidP="0044208E">
      <w:pPr>
        <w:jc w:val="center"/>
        <w:rPr>
          <w:b/>
          <w:sz w:val="48"/>
          <w:szCs w:val="48"/>
        </w:rPr>
      </w:pPr>
    </w:p>
    <w:p w:rsidR="00075426" w:rsidRDefault="00075426" w:rsidP="0044208E">
      <w:pPr>
        <w:jc w:val="center"/>
        <w:rPr>
          <w:b/>
          <w:sz w:val="32"/>
          <w:szCs w:val="32"/>
        </w:rPr>
      </w:pPr>
    </w:p>
    <w:p w:rsidR="00075426" w:rsidRDefault="0044208E" w:rsidP="0044208E">
      <w:pPr>
        <w:jc w:val="center"/>
        <w:rPr>
          <w:b/>
          <w:sz w:val="52"/>
          <w:szCs w:val="52"/>
        </w:rPr>
      </w:pPr>
      <w:r w:rsidRPr="00075426">
        <w:rPr>
          <w:b/>
          <w:sz w:val="52"/>
          <w:szCs w:val="52"/>
        </w:rPr>
        <w:t xml:space="preserve">Councillor Shannon Brooke's response </w:t>
      </w:r>
    </w:p>
    <w:p w:rsidR="00075426" w:rsidRDefault="00075426" w:rsidP="0044208E">
      <w:pPr>
        <w:jc w:val="center"/>
        <w:rPr>
          <w:b/>
          <w:sz w:val="52"/>
          <w:szCs w:val="52"/>
        </w:rPr>
      </w:pPr>
    </w:p>
    <w:p w:rsidR="0044208E" w:rsidRPr="00075426" w:rsidRDefault="00075426" w:rsidP="0044208E">
      <w:pPr>
        <w:jc w:val="center"/>
        <w:rPr>
          <w:b/>
          <w:sz w:val="52"/>
          <w:szCs w:val="52"/>
        </w:rPr>
      </w:pPr>
      <w:r>
        <w:rPr>
          <w:b/>
          <w:sz w:val="52"/>
          <w:szCs w:val="52"/>
        </w:rPr>
        <w:t>2</w:t>
      </w:r>
      <w:r w:rsidRPr="00075426">
        <w:rPr>
          <w:b/>
          <w:sz w:val="52"/>
          <w:szCs w:val="52"/>
          <w:vertAlign w:val="superscript"/>
        </w:rPr>
        <w:t xml:space="preserve">nd </w:t>
      </w:r>
      <w:r>
        <w:rPr>
          <w:b/>
          <w:sz w:val="52"/>
          <w:szCs w:val="52"/>
        </w:rPr>
        <w:t xml:space="preserve">March </w:t>
      </w:r>
      <w:r w:rsidR="0044208E" w:rsidRPr="00075426">
        <w:rPr>
          <w:b/>
          <w:sz w:val="52"/>
          <w:szCs w:val="52"/>
        </w:rPr>
        <w:t>2020</w:t>
      </w:r>
    </w:p>
    <w:p w:rsidR="00075426" w:rsidRDefault="00075426">
      <w:pPr>
        <w:rPr>
          <w:b/>
          <w:sz w:val="36"/>
          <w:szCs w:val="36"/>
        </w:rPr>
      </w:pPr>
    </w:p>
    <w:p w:rsidR="00075426" w:rsidRDefault="00075426">
      <w:pPr>
        <w:rPr>
          <w:b/>
          <w:sz w:val="36"/>
          <w:szCs w:val="36"/>
        </w:rPr>
      </w:pPr>
      <w:r>
        <w:rPr>
          <w:b/>
          <w:sz w:val="36"/>
          <w:szCs w:val="36"/>
        </w:rPr>
        <w:br w:type="page"/>
      </w:r>
    </w:p>
    <w:p w:rsidR="0044208E" w:rsidRPr="005177C8" w:rsidRDefault="0044208E">
      <w:pPr>
        <w:rPr>
          <w:b/>
          <w:sz w:val="52"/>
          <w:szCs w:val="52"/>
        </w:rPr>
      </w:pPr>
      <w:r w:rsidRPr="005177C8">
        <w:rPr>
          <w:b/>
          <w:sz w:val="52"/>
          <w:szCs w:val="52"/>
        </w:rPr>
        <w:lastRenderedPageBreak/>
        <w:t>Contents:</w:t>
      </w:r>
    </w:p>
    <w:p w:rsidR="005177C8" w:rsidRDefault="005177C8">
      <w:pPr>
        <w:rPr>
          <w:b/>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46"/>
        <w:gridCol w:w="1196"/>
      </w:tblGrid>
      <w:tr w:rsidR="005177C8" w:rsidTr="005177C8">
        <w:tc>
          <w:tcPr>
            <w:tcW w:w="8046" w:type="dxa"/>
          </w:tcPr>
          <w:p w:rsidR="005177C8" w:rsidRDefault="005177C8">
            <w:pPr>
              <w:rPr>
                <w:b/>
                <w:sz w:val="36"/>
                <w:szCs w:val="36"/>
              </w:rPr>
            </w:pPr>
          </w:p>
        </w:tc>
        <w:tc>
          <w:tcPr>
            <w:tcW w:w="1196" w:type="dxa"/>
          </w:tcPr>
          <w:p w:rsidR="005177C8" w:rsidRDefault="005177C8" w:rsidP="005177C8">
            <w:pPr>
              <w:jc w:val="center"/>
              <w:rPr>
                <w:b/>
                <w:sz w:val="36"/>
                <w:szCs w:val="36"/>
              </w:rPr>
            </w:pPr>
            <w:r>
              <w:rPr>
                <w:b/>
                <w:sz w:val="36"/>
                <w:szCs w:val="36"/>
              </w:rPr>
              <w:t>Page</w:t>
            </w:r>
          </w:p>
        </w:tc>
      </w:tr>
      <w:tr w:rsidR="005177C8" w:rsidTr="005177C8">
        <w:tc>
          <w:tcPr>
            <w:tcW w:w="8046" w:type="dxa"/>
          </w:tcPr>
          <w:p w:rsidR="005177C8" w:rsidRDefault="005177C8" w:rsidP="005177C8">
            <w:pPr>
              <w:rPr>
                <w:b/>
                <w:sz w:val="36"/>
                <w:szCs w:val="36"/>
              </w:rPr>
            </w:pPr>
          </w:p>
          <w:p w:rsidR="005177C8" w:rsidRDefault="005177C8" w:rsidP="005177C8">
            <w:pPr>
              <w:rPr>
                <w:b/>
                <w:sz w:val="36"/>
                <w:szCs w:val="36"/>
              </w:rPr>
            </w:pPr>
          </w:p>
          <w:p w:rsidR="005177C8" w:rsidRDefault="005177C8" w:rsidP="005177C8">
            <w:pPr>
              <w:rPr>
                <w:b/>
                <w:sz w:val="36"/>
                <w:szCs w:val="36"/>
              </w:rPr>
            </w:pPr>
            <w:r>
              <w:rPr>
                <w:b/>
                <w:sz w:val="36"/>
                <w:szCs w:val="36"/>
              </w:rPr>
              <w:t>R</w:t>
            </w:r>
            <w:r w:rsidRPr="008D6AC0">
              <w:rPr>
                <w:b/>
                <w:sz w:val="36"/>
                <w:szCs w:val="36"/>
              </w:rPr>
              <w:t xml:space="preserve">easons for objecting to further development in </w:t>
            </w:r>
            <w:proofErr w:type="spellStart"/>
            <w:r w:rsidRPr="008D6AC0">
              <w:rPr>
                <w:b/>
                <w:sz w:val="36"/>
                <w:szCs w:val="36"/>
              </w:rPr>
              <w:t>Beckington</w:t>
            </w:r>
            <w:proofErr w:type="spellEnd"/>
          </w:p>
          <w:p w:rsidR="005177C8" w:rsidRDefault="005177C8">
            <w:pPr>
              <w:rPr>
                <w:b/>
                <w:sz w:val="36"/>
                <w:szCs w:val="36"/>
              </w:rPr>
            </w:pPr>
          </w:p>
        </w:tc>
        <w:tc>
          <w:tcPr>
            <w:tcW w:w="1196" w:type="dxa"/>
          </w:tcPr>
          <w:p w:rsidR="005177C8" w:rsidRDefault="005177C8" w:rsidP="005177C8">
            <w:pPr>
              <w:jc w:val="center"/>
              <w:rPr>
                <w:b/>
                <w:sz w:val="36"/>
                <w:szCs w:val="36"/>
              </w:rPr>
            </w:pPr>
          </w:p>
          <w:p w:rsidR="005177C8" w:rsidRDefault="005177C8" w:rsidP="005177C8">
            <w:pPr>
              <w:jc w:val="center"/>
              <w:rPr>
                <w:b/>
                <w:sz w:val="36"/>
                <w:szCs w:val="36"/>
              </w:rPr>
            </w:pPr>
          </w:p>
          <w:p w:rsidR="005177C8" w:rsidRDefault="005177C8" w:rsidP="005177C8">
            <w:pPr>
              <w:jc w:val="center"/>
              <w:rPr>
                <w:b/>
                <w:sz w:val="36"/>
                <w:szCs w:val="36"/>
              </w:rPr>
            </w:pPr>
            <w:r>
              <w:rPr>
                <w:b/>
                <w:sz w:val="36"/>
                <w:szCs w:val="36"/>
              </w:rPr>
              <w:t>3</w:t>
            </w:r>
          </w:p>
        </w:tc>
      </w:tr>
      <w:tr w:rsidR="005177C8" w:rsidTr="005177C8">
        <w:tc>
          <w:tcPr>
            <w:tcW w:w="8046" w:type="dxa"/>
          </w:tcPr>
          <w:p w:rsidR="005177C8" w:rsidRDefault="005177C8" w:rsidP="005177C8">
            <w:pPr>
              <w:rPr>
                <w:b/>
                <w:sz w:val="36"/>
                <w:szCs w:val="36"/>
              </w:rPr>
            </w:pPr>
          </w:p>
          <w:p w:rsidR="005177C8" w:rsidRDefault="005177C8" w:rsidP="005177C8">
            <w:pPr>
              <w:rPr>
                <w:b/>
                <w:sz w:val="36"/>
                <w:szCs w:val="36"/>
              </w:rPr>
            </w:pPr>
          </w:p>
          <w:p w:rsidR="005177C8" w:rsidRDefault="005177C8" w:rsidP="005177C8">
            <w:pPr>
              <w:rPr>
                <w:b/>
                <w:sz w:val="36"/>
                <w:szCs w:val="36"/>
              </w:rPr>
            </w:pPr>
            <w:r w:rsidRPr="008D6AC0">
              <w:rPr>
                <w:b/>
                <w:sz w:val="36"/>
                <w:szCs w:val="36"/>
              </w:rPr>
              <w:t xml:space="preserve">Reasons for opposing </w:t>
            </w:r>
            <w:proofErr w:type="spellStart"/>
            <w:r w:rsidRPr="008D6AC0">
              <w:rPr>
                <w:b/>
                <w:sz w:val="36"/>
                <w:szCs w:val="36"/>
              </w:rPr>
              <w:t>Redrow</w:t>
            </w:r>
            <w:proofErr w:type="spellEnd"/>
            <w:r w:rsidRPr="008D6AC0">
              <w:rPr>
                <w:b/>
                <w:sz w:val="36"/>
                <w:szCs w:val="36"/>
              </w:rPr>
              <w:t xml:space="preserve"> II site allocation off Great Dunns Close for 28 </w:t>
            </w:r>
            <w:r>
              <w:rPr>
                <w:b/>
                <w:sz w:val="36"/>
                <w:szCs w:val="36"/>
              </w:rPr>
              <w:t>(or 36) units</w:t>
            </w:r>
          </w:p>
          <w:p w:rsidR="005177C8" w:rsidRDefault="005177C8">
            <w:pPr>
              <w:rPr>
                <w:b/>
                <w:sz w:val="36"/>
                <w:szCs w:val="36"/>
              </w:rPr>
            </w:pPr>
          </w:p>
        </w:tc>
        <w:tc>
          <w:tcPr>
            <w:tcW w:w="1196" w:type="dxa"/>
          </w:tcPr>
          <w:p w:rsidR="005177C8" w:rsidRDefault="005177C8" w:rsidP="005177C8">
            <w:pPr>
              <w:jc w:val="center"/>
              <w:rPr>
                <w:b/>
                <w:sz w:val="36"/>
                <w:szCs w:val="36"/>
              </w:rPr>
            </w:pPr>
          </w:p>
          <w:p w:rsidR="005177C8" w:rsidRDefault="005177C8" w:rsidP="005177C8">
            <w:pPr>
              <w:jc w:val="center"/>
              <w:rPr>
                <w:b/>
                <w:sz w:val="36"/>
                <w:szCs w:val="36"/>
              </w:rPr>
            </w:pPr>
          </w:p>
          <w:p w:rsidR="005177C8" w:rsidRDefault="005177C8" w:rsidP="005177C8">
            <w:pPr>
              <w:jc w:val="center"/>
              <w:rPr>
                <w:b/>
                <w:sz w:val="36"/>
                <w:szCs w:val="36"/>
              </w:rPr>
            </w:pPr>
            <w:r>
              <w:rPr>
                <w:b/>
                <w:sz w:val="36"/>
                <w:szCs w:val="36"/>
              </w:rPr>
              <w:t>4</w:t>
            </w:r>
          </w:p>
        </w:tc>
      </w:tr>
      <w:tr w:rsidR="005177C8" w:rsidTr="005177C8">
        <w:tc>
          <w:tcPr>
            <w:tcW w:w="8046" w:type="dxa"/>
          </w:tcPr>
          <w:p w:rsidR="005177C8" w:rsidRDefault="005177C8" w:rsidP="005177C8">
            <w:pPr>
              <w:rPr>
                <w:b/>
                <w:sz w:val="36"/>
                <w:szCs w:val="36"/>
              </w:rPr>
            </w:pPr>
          </w:p>
          <w:p w:rsidR="005177C8" w:rsidRDefault="005177C8" w:rsidP="005177C8">
            <w:pPr>
              <w:rPr>
                <w:b/>
                <w:sz w:val="36"/>
                <w:szCs w:val="36"/>
              </w:rPr>
            </w:pPr>
          </w:p>
          <w:p w:rsidR="005177C8" w:rsidRPr="0044208E" w:rsidRDefault="005177C8" w:rsidP="005177C8">
            <w:pPr>
              <w:rPr>
                <w:b/>
                <w:sz w:val="36"/>
                <w:szCs w:val="36"/>
              </w:rPr>
            </w:pPr>
            <w:r>
              <w:rPr>
                <w:b/>
                <w:sz w:val="36"/>
                <w:szCs w:val="36"/>
              </w:rPr>
              <w:t>Reasons for supporting</w:t>
            </w:r>
            <w:r w:rsidRPr="0044208E">
              <w:rPr>
                <w:b/>
                <w:sz w:val="36"/>
                <w:szCs w:val="36"/>
              </w:rPr>
              <w:t xml:space="preserve"> </w:t>
            </w:r>
            <w:r>
              <w:rPr>
                <w:b/>
                <w:sz w:val="36"/>
                <w:szCs w:val="36"/>
              </w:rPr>
              <w:t>t</w:t>
            </w:r>
            <w:r w:rsidRPr="008D6AC0">
              <w:rPr>
                <w:b/>
                <w:sz w:val="36"/>
                <w:szCs w:val="36"/>
              </w:rPr>
              <w:t xml:space="preserve">he Warminster Road </w:t>
            </w:r>
            <w:r>
              <w:rPr>
                <w:b/>
                <w:sz w:val="36"/>
                <w:szCs w:val="36"/>
              </w:rPr>
              <w:t>site</w:t>
            </w:r>
            <w:r w:rsidR="00E102BA">
              <w:rPr>
                <w:b/>
                <w:sz w:val="36"/>
                <w:szCs w:val="36"/>
              </w:rPr>
              <w:t xml:space="preserve"> allocation, even though it is </w:t>
            </w:r>
            <w:r>
              <w:rPr>
                <w:b/>
                <w:sz w:val="36"/>
                <w:szCs w:val="36"/>
              </w:rPr>
              <w:t>45 units</w:t>
            </w:r>
          </w:p>
          <w:p w:rsidR="005177C8" w:rsidRDefault="005177C8">
            <w:pPr>
              <w:rPr>
                <w:b/>
                <w:sz w:val="36"/>
                <w:szCs w:val="36"/>
              </w:rPr>
            </w:pPr>
          </w:p>
        </w:tc>
        <w:tc>
          <w:tcPr>
            <w:tcW w:w="1196" w:type="dxa"/>
          </w:tcPr>
          <w:p w:rsidR="005177C8" w:rsidRDefault="005177C8" w:rsidP="005177C8">
            <w:pPr>
              <w:jc w:val="center"/>
              <w:rPr>
                <w:b/>
                <w:sz w:val="36"/>
                <w:szCs w:val="36"/>
              </w:rPr>
            </w:pPr>
          </w:p>
          <w:p w:rsidR="005177C8" w:rsidRDefault="005177C8" w:rsidP="005177C8">
            <w:pPr>
              <w:jc w:val="center"/>
              <w:rPr>
                <w:b/>
                <w:sz w:val="36"/>
                <w:szCs w:val="36"/>
              </w:rPr>
            </w:pPr>
          </w:p>
          <w:p w:rsidR="005177C8" w:rsidRDefault="005177C8" w:rsidP="005177C8">
            <w:pPr>
              <w:jc w:val="center"/>
              <w:rPr>
                <w:b/>
                <w:sz w:val="36"/>
                <w:szCs w:val="36"/>
              </w:rPr>
            </w:pPr>
            <w:r>
              <w:rPr>
                <w:b/>
                <w:sz w:val="36"/>
                <w:szCs w:val="36"/>
              </w:rPr>
              <w:t>6</w:t>
            </w:r>
          </w:p>
        </w:tc>
      </w:tr>
    </w:tbl>
    <w:p w:rsidR="005177C8" w:rsidRDefault="005177C8">
      <w:pPr>
        <w:rPr>
          <w:b/>
          <w:sz w:val="36"/>
          <w:szCs w:val="36"/>
        </w:rPr>
      </w:pPr>
    </w:p>
    <w:p w:rsidR="0044208E" w:rsidRDefault="0044208E" w:rsidP="0044208E">
      <w:pPr>
        <w:rPr>
          <w:b/>
          <w:sz w:val="36"/>
          <w:szCs w:val="36"/>
        </w:rPr>
      </w:pPr>
    </w:p>
    <w:p w:rsidR="0044208E" w:rsidRDefault="0044208E">
      <w:pPr>
        <w:rPr>
          <w:b/>
          <w:sz w:val="36"/>
          <w:szCs w:val="36"/>
        </w:rPr>
      </w:pPr>
    </w:p>
    <w:p w:rsidR="00075426" w:rsidRDefault="00075426">
      <w:pPr>
        <w:rPr>
          <w:b/>
          <w:sz w:val="36"/>
          <w:szCs w:val="36"/>
        </w:rPr>
      </w:pPr>
      <w:r>
        <w:rPr>
          <w:b/>
          <w:sz w:val="36"/>
          <w:szCs w:val="36"/>
        </w:rPr>
        <w:br w:type="page"/>
      </w:r>
    </w:p>
    <w:p w:rsidR="00B1305B" w:rsidRDefault="0044208E">
      <w:pPr>
        <w:rPr>
          <w:b/>
          <w:sz w:val="36"/>
          <w:szCs w:val="36"/>
        </w:rPr>
      </w:pPr>
      <w:r>
        <w:rPr>
          <w:b/>
          <w:sz w:val="36"/>
          <w:szCs w:val="36"/>
        </w:rPr>
        <w:lastRenderedPageBreak/>
        <w:t>R</w:t>
      </w:r>
      <w:r w:rsidR="00C05332" w:rsidRPr="008D6AC0">
        <w:rPr>
          <w:b/>
          <w:sz w:val="36"/>
          <w:szCs w:val="36"/>
        </w:rPr>
        <w:t xml:space="preserve">easons for objecting to further development in </w:t>
      </w:r>
      <w:proofErr w:type="spellStart"/>
      <w:r w:rsidR="00C05332" w:rsidRPr="008D6AC0">
        <w:rPr>
          <w:b/>
          <w:sz w:val="36"/>
          <w:szCs w:val="36"/>
        </w:rPr>
        <w:t>Beckington</w:t>
      </w:r>
      <w:proofErr w:type="spellEnd"/>
    </w:p>
    <w:p w:rsidR="00B1305B" w:rsidRDefault="00CF5EA9">
      <w:r>
        <w:t xml:space="preserve"> </w:t>
      </w:r>
      <w:r w:rsidR="00E36FE8">
        <w:br/>
      </w:r>
      <w:proofErr w:type="spellStart"/>
      <w:r w:rsidR="00B1305B">
        <w:t>i</w:t>
      </w:r>
      <w:proofErr w:type="spellEnd"/>
      <w:r w:rsidR="00B1305B">
        <w:t xml:space="preserve">. </w:t>
      </w:r>
      <w:r w:rsidR="0044208E">
        <w:t>d</w:t>
      </w:r>
      <w:r w:rsidR="00E36FE8">
        <w:t xml:space="preserve">evelopment approval </w:t>
      </w:r>
      <w:r>
        <w:t xml:space="preserve">numbers </w:t>
      </w:r>
      <w:r w:rsidR="00E36FE8">
        <w:t xml:space="preserve">to date </w:t>
      </w:r>
      <w:r>
        <w:t xml:space="preserve">and </w:t>
      </w:r>
    </w:p>
    <w:p w:rsidR="00C05332" w:rsidRDefault="00B1305B">
      <w:r>
        <w:t xml:space="preserve">ii. </w:t>
      </w:r>
      <w:r w:rsidR="00B95037">
        <w:t xml:space="preserve">a fundamentally </w:t>
      </w:r>
      <w:r w:rsidR="00CF5EA9">
        <w:t>flawed drainage</w:t>
      </w:r>
      <w:r w:rsidR="00B95037">
        <w:t xml:space="preserve"> system that could not cope before the recent increase in housing and is now 'in crisis' </w:t>
      </w:r>
      <w:r w:rsidR="00E36FE8">
        <w:t xml:space="preserve">- </w:t>
      </w:r>
      <w:r w:rsidR="00B95037">
        <w:t>with sewage rising up through manholes in the centre of the village</w:t>
      </w:r>
      <w:r w:rsidR="00C05332">
        <w:t>:</w:t>
      </w:r>
    </w:p>
    <w:p w:rsidR="00B1305B" w:rsidRDefault="003929FA">
      <w:r>
        <w:rPr>
          <w:noProof/>
          <w:lang w:eastAsia="en-GB"/>
        </w:rPr>
        <w:drawing>
          <wp:inline distT="0" distB="0" distL="0" distR="0">
            <wp:extent cx="1473075" cy="1104806"/>
            <wp:effectExtent l="19050" t="0" r="0" b="0"/>
            <wp:docPr id="1" name="Picture 0"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7" cstate="print"/>
                    <a:stretch>
                      <a:fillRect/>
                    </a:stretch>
                  </pic:blipFill>
                  <pic:spPr>
                    <a:xfrm rot="10800000">
                      <a:off x="0" y="0"/>
                      <a:ext cx="1473481" cy="1105111"/>
                    </a:xfrm>
                    <a:prstGeom prst="rect">
                      <a:avLst/>
                    </a:prstGeom>
                  </pic:spPr>
                </pic:pic>
              </a:graphicData>
            </a:graphic>
          </wp:inline>
        </w:drawing>
      </w:r>
      <w:r w:rsidR="0044208E">
        <w:t xml:space="preserve">  </w:t>
      </w:r>
      <w:r w:rsidR="0044208E">
        <w:rPr>
          <w:noProof/>
          <w:lang w:eastAsia="en-GB"/>
        </w:rPr>
        <w:drawing>
          <wp:inline distT="0" distB="0" distL="0" distR="0">
            <wp:extent cx="1466227" cy="1099671"/>
            <wp:effectExtent l="19050" t="0" r="623" b="0"/>
            <wp:docPr id="2" name="Picture 1"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8" cstate="print"/>
                    <a:stretch>
                      <a:fillRect/>
                    </a:stretch>
                  </pic:blipFill>
                  <pic:spPr>
                    <a:xfrm rot="10800000">
                      <a:off x="0" y="0"/>
                      <a:ext cx="1468774" cy="1101581"/>
                    </a:xfrm>
                    <a:prstGeom prst="rect">
                      <a:avLst/>
                    </a:prstGeom>
                  </pic:spPr>
                </pic:pic>
              </a:graphicData>
            </a:graphic>
          </wp:inline>
        </w:drawing>
      </w:r>
      <w:r w:rsidR="0044208E">
        <w:t xml:space="preserve">   </w:t>
      </w:r>
      <w:r w:rsidR="0044208E">
        <w:rPr>
          <w:noProof/>
          <w:lang w:eastAsia="en-GB"/>
        </w:rPr>
        <w:drawing>
          <wp:inline distT="0" distB="0" distL="0" distR="0">
            <wp:extent cx="1458257" cy="1093694"/>
            <wp:effectExtent l="19050" t="0" r="8593" b="0"/>
            <wp:docPr id="3" name="Picture 2" descr="thumbnail_IMG_4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_IMG_4412.jpg"/>
                    <pic:cNvPicPr/>
                  </pic:nvPicPr>
                  <pic:blipFill>
                    <a:blip r:embed="rId9" cstate="print"/>
                    <a:stretch>
                      <a:fillRect/>
                    </a:stretch>
                  </pic:blipFill>
                  <pic:spPr>
                    <a:xfrm rot="10800000">
                      <a:off x="0" y="0"/>
                      <a:ext cx="1460896" cy="1095673"/>
                    </a:xfrm>
                    <a:prstGeom prst="rect">
                      <a:avLst/>
                    </a:prstGeom>
                  </pic:spPr>
                </pic:pic>
              </a:graphicData>
            </a:graphic>
          </wp:inline>
        </w:drawing>
      </w:r>
    </w:p>
    <w:p w:rsidR="00C05332" w:rsidRDefault="00C05332" w:rsidP="00C05332">
      <w:pPr>
        <w:pStyle w:val="ListParagraph"/>
        <w:numPr>
          <w:ilvl w:val="0"/>
          <w:numId w:val="2"/>
        </w:numPr>
      </w:pPr>
      <w:proofErr w:type="spellStart"/>
      <w:r>
        <w:t>Beckington</w:t>
      </w:r>
      <w:proofErr w:type="spellEnd"/>
      <w:r>
        <w:t xml:space="preserve"> Parish was provided with a minimum requirement for development of 55 until 2029 and has already taken 115.   (108 in </w:t>
      </w:r>
      <w:proofErr w:type="spellStart"/>
      <w:r>
        <w:t>Beckington</w:t>
      </w:r>
      <w:proofErr w:type="spellEnd"/>
      <w:r>
        <w:t xml:space="preserve"> village, plus 7 in </w:t>
      </w:r>
      <w:proofErr w:type="spellStart"/>
      <w:r>
        <w:t>Rudge</w:t>
      </w:r>
      <w:proofErr w:type="spellEnd"/>
      <w:r>
        <w:t>, where there was to be no development).</w:t>
      </w:r>
      <w:r w:rsidR="00075426">
        <w:t xml:space="preserve">  Even taking the 108 figure this equates to a 30.6% uplift in the village's housing stock.</w:t>
      </w:r>
    </w:p>
    <w:p w:rsidR="001755E9" w:rsidRDefault="00C05332" w:rsidP="00C05332">
      <w:pPr>
        <w:pStyle w:val="ListParagraph"/>
        <w:numPr>
          <w:ilvl w:val="0"/>
          <w:numId w:val="2"/>
        </w:numPr>
      </w:pPr>
      <w:proofErr w:type="spellStart"/>
      <w:r>
        <w:t>Beckington</w:t>
      </w:r>
      <w:proofErr w:type="spellEnd"/>
      <w:r>
        <w:t xml:space="preserve"> has a historic and serious drainage problem.</w:t>
      </w:r>
      <w:r w:rsidR="001755E9">
        <w:t xml:space="preserve">  Sewage rising/floating around at the heart o</w:t>
      </w:r>
      <w:r w:rsidR="004A4177">
        <w:t>f the village/conservation area, with no resolution - in spite of repeated assurances from Wessex Water that the problem would be resolved and more and more house</w:t>
      </w:r>
      <w:r w:rsidR="00B95037">
        <w:t>s being built in the interim ...</w:t>
      </w:r>
      <w:r w:rsidR="004A4177">
        <w:t xml:space="preserve"> consequently exacerbating the problem.</w:t>
      </w:r>
      <w:r>
        <w:br/>
      </w:r>
      <w:r w:rsidR="001755E9">
        <w:t xml:space="preserve">- </w:t>
      </w:r>
      <w:r w:rsidR="0043600F">
        <w:t xml:space="preserve">Many years ago </w:t>
      </w:r>
      <w:r>
        <w:t xml:space="preserve">Wessex Water </w:t>
      </w:r>
      <w:r w:rsidR="0043600F">
        <w:t>recognised that there wa</w:t>
      </w:r>
      <w:r>
        <w:t xml:space="preserve">s a </w:t>
      </w:r>
      <w:r w:rsidR="00B95037">
        <w:t xml:space="preserve">serious </w:t>
      </w:r>
      <w:r>
        <w:t>problem</w:t>
      </w:r>
      <w:r w:rsidR="00B95037">
        <w:t xml:space="preserve"> with the historic drainage system in </w:t>
      </w:r>
      <w:proofErr w:type="spellStart"/>
      <w:r w:rsidR="00B95037">
        <w:t>Beckington</w:t>
      </w:r>
      <w:proofErr w:type="spellEnd"/>
      <w:r>
        <w:t xml:space="preserve"> and </w:t>
      </w:r>
      <w:r w:rsidR="00B95037">
        <w:t xml:space="preserve">so </w:t>
      </w:r>
      <w:r>
        <w:t xml:space="preserve">put forward </w:t>
      </w:r>
      <w:r w:rsidR="001755E9">
        <w:t xml:space="preserve">a solution, which they then </w:t>
      </w:r>
      <w:r w:rsidR="00B95037">
        <w:t xml:space="preserve">quickly </w:t>
      </w:r>
      <w:r w:rsidR="001755E9">
        <w:t>withdrew,</w:t>
      </w:r>
      <w:r>
        <w:t xml:space="preserve"> as being 'too difficult/risky' </w:t>
      </w:r>
      <w:r w:rsidR="001755E9">
        <w:t>(</w:t>
      </w:r>
      <w:r>
        <w:t>given the historic/</w:t>
      </w:r>
      <w:r w:rsidR="00B95037">
        <w:t>'</w:t>
      </w:r>
      <w:r>
        <w:t>listed status</w:t>
      </w:r>
      <w:r w:rsidR="00B95037">
        <w:t>'</w:t>
      </w:r>
      <w:r>
        <w:t xml:space="preserve"> nature of most of the properties at the heart of the village, i.e. </w:t>
      </w:r>
      <w:r w:rsidR="00B95037">
        <w:t>the</w:t>
      </w:r>
      <w:r w:rsidR="00D829AA">
        <w:t xml:space="preserve"> buildings do not have the benefit of modern/</w:t>
      </w:r>
      <w:r w:rsidR="001755E9">
        <w:t xml:space="preserve">strong foundations and therefore </w:t>
      </w:r>
      <w:r w:rsidR="00D829AA">
        <w:t xml:space="preserve">the proposal </w:t>
      </w:r>
      <w:r w:rsidR="004A4177">
        <w:t xml:space="preserve">of new drains would </w:t>
      </w:r>
      <w:r w:rsidR="00D829AA">
        <w:t>p</w:t>
      </w:r>
      <w:r w:rsidR="001755E9">
        <w:t xml:space="preserve">ut </w:t>
      </w:r>
      <w:r w:rsidR="00B95037">
        <w:t xml:space="preserve">these </w:t>
      </w:r>
      <w:r w:rsidR="001755E9">
        <w:t xml:space="preserve">buildings </w:t>
      </w:r>
      <w:r w:rsidR="004A4177">
        <w:t>'at risk' of subsidence</w:t>
      </w:r>
      <w:r w:rsidR="001755E9">
        <w:t>)</w:t>
      </w:r>
      <w:r w:rsidR="00D829AA">
        <w:t>.</w:t>
      </w:r>
    </w:p>
    <w:p w:rsidR="00A71F21" w:rsidRDefault="001755E9" w:rsidP="001755E9">
      <w:pPr>
        <w:pStyle w:val="ListParagraph"/>
      </w:pPr>
      <w:r>
        <w:t>-</w:t>
      </w:r>
      <w:r w:rsidR="00D829AA">
        <w:t xml:space="preserve"> </w:t>
      </w:r>
      <w:proofErr w:type="spellStart"/>
      <w:r>
        <w:t>Redrow</w:t>
      </w:r>
      <w:proofErr w:type="spellEnd"/>
      <w:r>
        <w:t xml:space="preserve"> Phase I was given outline permission</w:t>
      </w:r>
      <w:r w:rsidR="004A4177">
        <w:t xml:space="preserve"> </w:t>
      </w:r>
      <w:r>
        <w:t xml:space="preserve">only on the basis that the development would require a new drainage system to be built directly </w:t>
      </w:r>
      <w:r w:rsidR="00B95037">
        <w:t xml:space="preserve">from the site </w:t>
      </w:r>
      <w:r>
        <w:t xml:space="preserve">to the sewage works.  However, </w:t>
      </w:r>
      <w:proofErr w:type="spellStart"/>
      <w:r w:rsidR="00D829AA">
        <w:t>Redrow</w:t>
      </w:r>
      <w:proofErr w:type="spellEnd"/>
      <w:r w:rsidR="00D829AA">
        <w:t>/</w:t>
      </w:r>
      <w:r>
        <w:t>Wessex Water did not do this and</w:t>
      </w:r>
      <w:r w:rsidR="00B95037">
        <w:t>, saving themselves money,</w:t>
      </w:r>
      <w:r>
        <w:t xml:space="preserve"> simply added </w:t>
      </w:r>
      <w:proofErr w:type="spellStart"/>
      <w:r>
        <w:t>Redrow</w:t>
      </w:r>
      <w:proofErr w:type="spellEnd"/>
      <w:r>
        <w:t xml:space="preserve"> Phase I onto the existing </w:t>
      </w:r>
      <w:r w:rsidR="00D829AA">
        <w:t xml:space="preserve">fundamentally flawed </w:t>
      </w:r>
      <w:r>
        <w:t xml:space="preserve">village drainage network.  This has </w:t>
      </w:r>
      <w:r w:rsidR="00D829AA">
        <w:t xml:space="preserve">directly and consequently further </w:t>
      </w:r>
      <w:r>
        <w:t xml:space="preserve">compounded </w:t>
      </w:r>
      <w:proofErr w:type="spellStart"/>
      <w:r>
        <w:t>Beckington's</w:t>
      </w:r>
      <w:proofErr w:type="spellEnd"/>
      <w:r>
        <w:t xml:space="preserve"> </w:t>
      </w:r>
      <w:r w:rsidR="00D829AA">
        <w:t xml:space="preserve">drainage </w:t>
      </w:r>
      <w:r>
        <w:t xml:space="preserve">problem and now sewage is rising out of manholes onto the tarmac at the centre of the village, even on dry days (i.e. without </w:t>
      </w:r>
      <w:r w:rsidR="00B95037">
        <w:t xml:space="preserve">heavy </w:t>
      </w:r>
      <w:r>
        <w:t xml:space="preserve">rainfall </w:t>
      </w:r>
      <w:r w:rsidR="00B95037">
        <w:t>being a factor</w:t>
      </w:r>
      <w:r>
        <w:t xml:space="preserve"> in the </w:t>
      </w:r>
      <w:r w:rsidR="004A4177">
        <w:t>'</w:t>
      </w:r>
      <w:r>
        <w:t>combined sections</w:t>
      </w:r>
      <w:r w:rsidR="004A4177">
        <w:t>'</w:t>
      </w:r>
      <w:r>
        <w:t xml:space="preserve"> of the flawed system</w:t>
      </w:r>
      <w:r w:rsidR="00B95037">
        <w:t xml:space="preserve"> on Bath Road</w:t>
      </w:r>
      <w:r>
        <w:t>)</w:t>
      </w:r>
      <w:r w:rsidR="004A4177">
        <w:t>.</w:t>
      </w:r>
      <w:r w:rsidR="00C05332">
        <w:br/>
        <w:t xml:space="preserve">- </w:t>
      </w:r>
      <w:r>
        <w:t xml:space="preserve">In 2018 </w:t>
      </w:r>
      <w:r w:rsidR="00C05332">
        <w:t xml:space="preserve">Somerset Rivers Authority </w:t>
      </w:r>
      <w:r>
        <w:t>agreed to fund</w:t>
      </w:r>
      <w:r w:rsidR="00C05332">
        <w:t xml:space="preserve"> the </w:t>
      </w:r>
      <w:proofErr w:type="spellStart"/>
      <w:r w:rsidR="00C05332">
        <w:t>Beckington</w:t>
      </w:r>
      <w:proofErr w:type="spellEnd"/>
      <w:r w:rsidR="00C05332">
        <w:t xml:space="preserve"> Drainage Review</w:t>
      </w:r>
      <w:r>
        <w:t xml:space="preserve">, </w:t>
      </w:r>
      <w:r w:rsidR="00C05332">
        <w:t xml:space="preserve">but several years on, proposed solutions have been withdrawn, no new solutions have been put </w:t>
      </w:r>
      <w:r>
        <w:t xml:space="preserve">forward and yet </w:t>
      </w:r>
      <w:proofErr w:type="spellStart"/>
      <w:r>
        <w:t>Redrow</w:t>
      </w:r>
      <w:proofErr w:type="spellEnd"/>
      <w:r>
        <w:t xml:space="preserve"> Phase II is once again being proposed, simply because more housing is required.</w:t>
      </w:r>
      <w:r w:rsidR="00BF71F8">
        <w:t xml:space="preserve">  </w:t>
      </w:r>
    </w:p>
    <w:p w:rsidR="001755E9" w:rsidRDefault="001755E9" w:rsidP="001755E9">
      <w:pPr>
        <w:pStyle w:val="ListParagraph"/>
      </w:pPr>
      <w:r>
        <w:t xml:space="preserve">- The Planning Inspector R J Jackson, who reviewed the </w:t>
      </w:r>
      <w:proofErr w:type="spellStart"/>
      <w:r w:rsidR="00D829AA">
        <w:t>Redrow</w:t>
      </w:r>
      <w:proofErr w:type="spellEnd"/>
      <w:r w:rsidR="00D829AA">
        <w:t xml:space="preserve"> II appeal in June 2018</w:t>
      </w:r>
      <w:r w:rsidR="00A017C4">
        <w:t>,</w:t>
      </w:r>
      <w:r w:rsidR="00D829AA">
        <w:t xml:space="preserve"> was not </w:t>
      </w:r>
      <w:r w:rsidR="00B95037">
        <w:t>privy</w:t>
      </w:r>
      <w:r w:rsidR="00D829AA">
        <w:t xml:space="preserve"> to the fundamental details of </w:t>
      </w:r>
      <w:proofErr w:type="spellStart"/>
      <w:r w:rsidR="00D829AA">
        <w:t>Beckington</w:t>
      </w:r>
      <w:r w:rsidR="00182025">
        <w:t>'</w:t>
      </w:r>
      <w:r w:rsidR="00D829AA">
        <w:t>s</w:t>
      </w:r>
      <w:proofErr w:type="spellEnd"/>
      <w:r w:rsidR="00D829AA">
        <w:t xml:space="preserve"> failing drainage system </w:t>
      </w:r>
      <w:r w:rsidR="00182025">
        <w:t xml:space="preserve">when writing his report 11.7.2018 (i.e. </w:t>
      </w:r>
      <w:r w:rsidR="0043600F">
        <w:t>issues claimed by residents regarding combined surface water and foul drains</w:t>
      </w:r>
      <w:r w:rsidR="00D829AA">
        <w:t xml:space="preserve"> have </w:t>
      </w:r>
      <w:r w:rsidR="00182025">
        <w:t xml:space="preserve">since </w:t>
      </w:r>
      <w:r w:rsidR="0043600F">
        <w:t>been proven as accurate, following</w:t>
      </w:r>
      <w:r w:rsidR="00182025">
        <w:t xml:space="preserve"> the extensive surveying that was undertaken in 2019</w:t>
      </w:r>
      <w:r w:rsidR="00D829AA">
        <w:t xml:space="preserve">, via the </w:t>
      </w:r>
      <w:proofErr w:type="spellStart"/>
      <w:r w:rsidR="00D829AA">
        <w:t>Beckington</w:t>
      </w:r>
      <w:proofErr w:type="spellEnd"/>
      <w:r w:rsidR="00D829AA">
        <w:t xml:space="preserve"> Drainage Review</w:t>
      </w:r>
      <w:r w:rsidR="00182025">
        <w:t>)</w:t>
      </w:r>
      <w:r w:rsidR="00D829AA">
        <w:t>.</w:t>
      </w:r>
      <w:r w:rsidR="00A017C4">
        <w:t xml:space="preserve">  </w:t>
      </w:r>
      <w:r w:rsidR="00B95037">
        <w:t>Thus, h</w:t>
      </w:r>
      <w:r w:rsidR="00A017C4">
        <w:t xml:space="preserve">is report simply suggested </w:t>
      </w:r>
      <w:r w:rsidR="00A017C4">
        <w:lastRenderedPageBreak/>
        <w:t xml:space="preserve">that drainage issues could be mitigated, but this </w:t>
      </w:r>
      <w:r w:rsidR="0043600F">
        <w:t>has</w:t>
      </w:r>
      <w:r w:rsidR="00A017C4">
        <w:t xml:space="preserve"> not </w:t>
      </w:r>
      <w:r w:rsidR="0043600F">
        <w:t xml:space="preserve">been </w:t>
      </w:r>
      <w:r w:rsidR="00A017C4">
        <w:t>the case</w:t>
      </w:r>
      <w:r w:rsidR="00332347">
        <w:t xml:space="preserve">. </w:t>
      </w:r>
      <w:r w:rsidR="00B95037">
        <w:t xml:space="preserve"> </w:t>
      </w:r>
      <w:r w:rsidR="0043600F">
        <w:t xml:space="preserve">(NB nearly 2 years on).  </w:t>
      </w:r>
      <w:r w:rsidR="00B95037">
        <w:t xml:space="preserve">He did note that regarding foul drainage, </w:t>
      </w:r>
      <w:r w:rsidR="00B95037" w:rsidRPr="00B95037">
        <w:rPr>
          <w:b/>
          <w:i/>
        </w:rPr>
        <w:t>"local residents continued to express their concern on this topic"</w:t>
      </w:r>
      <w:r w:rsidR="00B95037">
        <w:t xml:space="preserve"> </w:t>
      </w:r>
      <w:proofErr w:type="spellStart"/>
      <w:r w:rsidR="00B95037">
        <w:t>para</w:t>
      </w:r>
      <w:proofErr w:type="spellEnd"/>
      <w:r w:rsidR="00B95037">
        <w:t xml:space="preserve"> 4.</w:t>
      </w:r>
      <w:r w:rsidR="00332347">
        <w:t xml:space="preserve"> </w:t>
      </w:r>
      <w:r w:rsidR="0043600F">
        <w:t>... concerns which have since been vindicated and remain a key concern to village residents.</w:t>
      </w:r>
      <w:r w:rsidR="00B95037">
        <w:br/>
      </w:r>
      <w:r w:rsidR="00332347">
        <w:t>NB no viable solution has been forthcoming during the last 8 years, Wessex/</w:t>
      </w:r>
      <w:proofErr w:type="spellStart"/>
      <w:r w:rsidR="00332347">
        <w:t>Redrow</w:t>
      </w:r>
      <w:proofErr w:type="spellEnd"/>
      <w:r w:rsidR="00332347">
        <w:t xml:space="preserve"> Phase I have made the existing problem worse and </w:t>
      </w:r>
      <w:proofErr w:type="spellStart"/>
      <w:r w:rsidR="00332347">
        <w:t>Beckington</w:t>
      </w:r>
      <w:proofErr w:type="spellEnd"/>
      <w:r w:rsidR="00332347">
        <w:t xml:space="preserve"> now experiences greater incidences of sewage surfacing in the centre of the village, while no solution whatsoever, or even</w:t>
      </w:r>
      <w:r w:rsidR="00E36FE8">
        <w:t xml:space="preserve"> a timescale for a solution, has been </w:t>
      </w:r>
      <w:r w:rsidR="00332347">
        <w:t>proposed moving forwards.</w:t>
      </w:r>
      <w:r w:rsidR="00332347">
        <w:br/>
        <w:t>- As well as the 'complicated nature' of Wessex dealing with the need to fundamentally improve the flawed drainage in a conservation area</w:t>
      </w:r>
      <w:r w:rsidR="00E36FE8">
        <w:t>, i.e.</w:t>
      </w:r>
      <w:r w:rsidR="00332347">
        <w:t xml:space="preserve"> of largely historic and listed properties, </w:t>
      </w:r>
      <w:r w:rsidR="00332347" w:rsidRPr="00CF5EA9">
        <w:rPr>
          <w:b/>
        </w:rPr>
        <w:t>budget</w:t>
      </w:r>
      <w:r w:rsidR="00332347">
        <w:t xml:space="preserve"> is another factor why </w:t>
      </w:r>
      <w:r w:rsidR="00053985">
        <w:t>Wessex Water have not remedied</w:t>
      </w:r>
      <w:r w:rsidR="00332347">
        <w:t xml:space="preserve"> this problem to date.  It will be very expensive to solve the drainage problem at the heart of </w:t>
      </w:r>
      <w:proofErr w:type="spellStart"/>
      <w:r w:rsidR="00332347">
        <w:t>Beckington</w:t>
      </w:r>
      <w:proofErr w:type="spellEnd"/>
      <w:r w:rsidR="00332347">
        <w:t>, with little payback in relation</w:t>
      </w:r>
      <w:r w:rsidR="00053985">
        <w:t xml:space="preserve"> to the number of homes benefit</w:t>
      </w:r>
      <w:r w:rsidR="00332347">
        <w:t xml:space="preserve">ing from the solution, </w:t>
      </w:r>
      <w:r w:rsidR="00CF5EA9">
        <w:t>therefore</w:t>
      </w:r>
      <w:r w:rsidR="00332347">
        <w:t xml:space="preserve"> </w:t>
      </w:r>
      <w:proofErr w:type="spellStart"/>
      <w:r w:rsidR="00E36FE8">
        <w:t>Beckington</w:t>
      </w:r>
      <w:proofErr w:type="spellEnd"/>
      <w:r w:rsidR="00E36FE8">
        <w:t xml:space="preserve"> </w:t>
      </w:r>
      <w:r w:rsidR="00332347">
        <w:t>will mos</w:t>
      </w:r>
      <w:r w:rsidR="00E36FE8">
        <w:t xml:space="preserve">t likely always be given little, or </w:t>
      </w:r>
      <w:r w:rsidR="00332347">
        <w:t>low</w:t>
      </w:r>
      <w:r w:rsidR="00E36FE8">
        <w:t>,</w:t>
      </w:r>
      <w:r w:rsidR="00332347">
        <w:t xml:space="preserve"> priority in terms of allocating resource/funds. </w:t>
      </w:r>
      <w:r w:rsidR="00CF5EA9">
        <w:t xml:space="preserve">e.g. </w:t>
      </w:r>
      <w:r w:rsidR="00332347">
        <w:t xml:space="preserve">If 40 houses will benefit from a £1m </w:t>
      </w:r>
      <w:r w:rsidR="00CF5EA9">
        <w:t xml:space="preserve">drainage </w:t>
      </w:r>
      <w:r w:rsidR="00332347">
        <w:t>spend somewhere else</w:t>
      </w:r>
      <w:r w:rsidR="00CF5EA9">
        <w:t>,</w:t>
      </w:r>
      <w:r w:rsidR="00332347">
        <w:t xml:space="preserve"> then </w:t>
      </w:r>
      <w:r w:rsidR="00CF5EA9">
        <w:t xml:space="preserve">resource will be allocated to that and </w:t>
      </w:r>
      <w:r w:rsidR="00332347">
        <w:t xml:space="preserve">the sewage surfacing in the centre of </w:t>
      </w:r>
      <w:proofErr w:type="spellStart"/>
      <w:r w:rsidR="00332347">
        <w:t>Beckington</w:t>
      </w:r>
      <w:proofErr w:type="spellEnd"/>
      <w:r w:rsidR="00332347">
        <w:t xml:space="preserve"> v</w:t>
      </w:r>
      <w:r w:rsidR="00CF5EA9">
        <w:t>illage will continue unres</w:t>
      </w:r>
      <w:r w:rsidR="00E36FE8">
        <w:t xml:space="preserve">olved because only a few houses, plus </w:t>
      </w:r>
      <w:r w:rsidR="00CF5EA9">
        <w:t>the community on foot</w:t>
      </w:r>
      <w:r w:rsidR="0043600F">
        <w:t>,</w:t>
      </w:r>
      <w:r w:rsidR="00CF5EA9">
        <w:t xml:space="preserve"> </w:t>
      </w:r>
      <w:r w:rsidR="00E36FE8">
        <w:t xml:space="preserve">walking around the </w:t>
      </w:r>
      <w:r w:rsidR="0043600F">
        <w:t xml:space="preserve">centre of the </w:t>
      </w:r>
      <w:r w:rsidR="00E36FE8">
        <w:t xml:space="preserve">village, </w:t>
      </w:r>
      <w:r w:rsidR="00CF5EA9">
        <w:t xml:space="preserve">are </w:t>
      </w:r>
      <w:r w:rsidR="0043600F">
        <w:t xml:space="preserve">directly </w:t>
      </w:r>
      <w:r w:rsidR="00CF5EA9">
        <w:t>affected.</w:t>
      </w:r>
    </w:p>
    <w:p w:rsidR="00332347" w:rsidRDefault="00332347" w:rsidP="001755E9">
      <w:pPr>
        <w:pStyle w:val="ListParagraph"/>
      </w:pPr>
    </w:p>
    <w:p w:rsidR="00D829AA" w:rsidRDefault="00D829AA" w:rsidP="001755E9">
      <w:pPr>
        <w:pStyle w:val="ListParagraph"/>
      </w:pPr>
    </w:p>
    <w:p w:rsidR="006F1AF2" w:rsidRPr="008D6AC0" w:rsidRDefault="00D829AA" w:rsidP="006F1AF2">
      <w:pPr>
        <w:rPr>
          <w:b/>
          <w:sz w:val="36"/>
          <w:szCs w:val="36"/>
        </w:rPr>
      </w:pPr>
      <w:r w:rsidRPr="008D6AC0">
        <w:rPr>
          <w:b/>
          <w:sz w:val="36"/>
          <w:szCs w:val="36"/>
        </w:rPr>
        <w:t xml:space="preserve">Reasons for opposing </w:t>
      </w:r>
      <w:proofErr w:type="spellStart"/>
      <w:r w:rsidRPr="008D6AC0">
        <w:rPr>
          <w:b/>
          <w:sz w:val="36"/>
          <w:szCs w:val="36"/>
        </w:rPr>
        <w:t>Redrow</w:t>
      </w:r>
      <w:proofErr w:type="spellEnd"/>
      <w:r w:rsidRPr="008D6AC0">
        <w:rPr>
          <w:b/>
          <w:sz w:val="36"/>
          <w:szCs w:val="36"/>
        </w:rPr>
        <w:t xml:space="preserve"> II site allocation off Great Dunns Close for 28 (or 36) units:</w:t>
      </w:r>
    </w:p>
    <w:p w:rsidR="006F1AF2" w:rsidRPr="00FF6335" w:rsidRDefault="00B42736" w:rsidP="006F1AF2">
      <w:pPr>
        <w:pStyle w:val="ListParagraph"/>
        <w:numPr>
          <w:ilvl w:val="0"/>
          <w:numId w:val="4"/>
        </w:numPr>
        <w:rPr>
          <w:b/>
          <w:color w:val="002060"/>
        </w:rPr>
      </w:pPr>
      <w:r>
        <w:t xml:space="preserve">See above re </w:t>
      </w:r>
      <w:r w:rsidR="006F1AF2">
        <w:t xml:space="preserve">detail of </w:t>
      </w:r>
      <w:r>
        <w:t xml:space="preserve">drainage.  </w:t>
      </w:r>
      <w:r w:rsidR="006F1AF2">
        <w:t>In brief:</w:t>
      </w:r>
      <w:r w:rsidR="006F1AF2">
        <w:br/>
        <w:t xml:space="preserve">- </w:t>
      </w:r>
      <w:proofErr w:type="spellStart"/>
      <w:r>
        <w:t>Redrow</w:t>
      </w:r>
      <w:proofErr w:type="spellEnd"/>
      <w:r>
        <w:t xml:space="preserve"> have largely compounded </w:t>
      </w:r>
      <w:proofErr w:type="spellStart"/>
      <w:r>
        <w:t>Beckington's</w:t>
      </w:r>
      <w:proofErr w:type="spellEnd"/>
      <w:r>
        <w:t xml:space="preserve"> problem of sewage surfacing at the centre of the village.  </w:t>
      </w:r>
      <w:r w:rsidR="006F1AF2">
        <w:br/>
        <w:t xml:space="preserve">- </w:t>
      </w:r>
      <w:proofErr w:type="spellStart"/>
      <w:r>
        <w:t>Redrow</w:t>
      </w:r>
      <w:proofErr w:type="spellEnd"/>
      <w:r>
        <w:t xml:space="preserve"> did not build a new foul drain as </w:t>
      </w:r>
      <w:r w:rsidR="006F1AF2">
        <w:t xml:space="preserve">they </w:t>
      </w:r>
      <w:r>
        <w:t xml:space="preserve">promoted and </w:t>
      </w:r>
      <w:r w:rsidR="006F1AF2">
        <w:t xml:space="preserve">was </w:t>
      </w:r>
      <w:r>
        <w:t>approved in their outline planning consent.</w:t>
      </w:r>
      <w:r w:rsidR="006F1AF2">
        <w:br/>
        <w:t>-</w:t>
      </w:r>
      <w:r>
        <w:t xml:space="preserve"> </w:t>
      </w:r>
      <w:proofErr w:type="spellStart"/>
      <w:r>
        <w:t>Redrow</w:t>
      </w:r>
      <w:proofErr w:type="spellEnd"/>
      <w:r>
        <w:t xml:space="preserve"> </w:t>
      </w:r>
      <w:r w:rsidR="006F1AF2">
        <w:t xml:space="preserve">instead </w:t>
      </w:r>
      <w:r>
        <w:t xml:space="preserve">liaised with Wessex Water and </w:t>
      </w:r>
      <w:r w:rsidR="006F1AF2">
        <w:t>'</w:t>
      </w:r>
      <w:r>
        <w:t>saved money</w:t>
      </w:r>
      <w:r w:rsidR="006F1AF2">
        <w:t xml:space="preserve"> at the expense of </w:t>
      </w:r>
      <w:proofErr w:type="spellStart"/>
      <w:r w:rsidR="006F1AF2">
        <w:t>Beckington</w:t>
      </w:r>
      <w:proofErr w:type="spellEnd"/>
      <w:r w:rsidR="006F1AF2">
        <w:t>'</w:t>
      </w:r>
      <w:r>
        <w:t xml:space="preserve"> simply by adding their drains on to the flawed </w:t>
      </w:r>
      <w:r w:rsidR="006F1AF2">
        <w:t>existing</w:t>
      </w:r>
      <w:r>
        <w:t xml:space="preserve"> system.</w:t>
      </w:r>
      <w:r w:rsidR="00871968">
        <w:br/>
      </w:r>
      <w:r w:rsidR="00871968" w:rsidRPr="00FF6335">
        <w:rPr>
          <w:b/>
          <w:color w:val="002060"/>
        </w:rPr>
        <w:t xml:space="preserve">The </w:t>
      </w:r>
      <w:proofErr w:type="spellStart"/>
      <w:r w:rsidR="00871968" w:rsidRPr="00FF6335">
        <w:rPr>
          <w:b/>
          <w:color w:val="002060"/>
        </w:rPr>
        <w:t>Redrow</w:t>
      </w:r>
      <w:proofErr w:type="spellEnd"/>
      <w:r w:rsidR="00871968" w:rsidRPr="00FF6335">
        <w:rPr>
          <w:b/>
          <w:color w:val="002060"/>
        </w:rPr>
        <w:t xml:space="preserve"> development to date has not accorded with National Planning Policy Framework (NPPF) Section 14.</w:t>
      </w:r>
    </w:p>
    <w:p w:rsidR="00871968" w:rsidRPr="00FF6335" w:rsidRDefault="006F1AF2" w:rsidP="00871968">
      <w:pPr>
        <w:pStyle w:val="ListParagraph"/>
        <w:numPr>
          <w:ilvl w:val="0"/>
          <w:numId w:val="4"/>
        </w:numPr>
        <w:rPr>
          <w:b/>
          <w:color w:val="002060"/>
        </w:rPr>
      </w:pPr>
      <w:proofErr w:type="spellStart"/>
      <w:r>
        <w:t>Redrow</w:t>
      </w:r>
      <w:proofErr w:type="spellEnd"/>
      <w:r>
        <w:t xml:space="preserve"> have never provided </w:t>
      </w:r>
      <w:proofErr w:type="spellStart"/>
      <w:r>
        <w:t>Beckington</w:t>
      </w:r>
      <w:proofErr w:type="spellEnd"/>
      <w:r>
        <w:t xml:space="preserve"> with the </w:t>
      </w:r>
      <w:proofErr w:type="spellStart"/>
      <w:r>
        <w:t>greenspace</w:t>
      </w:r>
      <w:proofErr w:type="spellEnd"/>
      <w:r>
        <w:t xml:space="preserve"> provision approved by planning</w:t>
      </w:r>
      <w:r w:rsidR="004F325E">
        <w:t xml:space="preserve"> in their Phase I development</w:t>
      </w:r>
      <w:r>
        <w:t>.</w:t>
      </w:r>
      <w:r w:rsidR="00871968">
        <w:br/>
      </w:r>
      <w:r w:rsidR="00871968" w:rsidRPr="00FF6335">
        <w:rPr>
          <w:b/>
          <w:color w:val="002060"/>
        </w:rPr>
        <w:t xml:space="preserve">The </w:t>
      </w:r>
      <w:proofErr w:type="spellStart"/>
      <w:r w:rsidR="00871968" w:rsidRPr="00FF6335">
        <w:rPr>
          <w:b/>
          <w:color w:val="002060"/>
        </w:rPr>
        <w:t>Redrow</w:t>
      </w:r>
      <w:proofErr w:type="spellEnd"/>
      <w:r w:rsidR="00871968" w:rsidRPr="00FF6335">
        <w:rPr>
          <w:b/>
          <w:color w:val="002060"/>
        </w:rPr>
        <w:t xml:space="preserve"> development to date has not accorded with National Planning Policy Framework (NPPF) Section 12.</w:t>
      </w:r>
    </w:p>
    <w:p w:rsidR="001656A2" w:rsidRDefault="001656A2" w:rsidP="006E0EEF">
      <w:pPr>
        <w:pStyle w:val="ListParagraph"/>
        <w:numPr>
          <w:ilvl w:val="0"/>
          <w:numId w:val="4"/>
        </w:numPr>
      </w:pPr>
      <w:proofErr w:type="spellStart"/>
      <w:r>
        <w:t>Redrow</w:t>
      </w:r>
      <w:proofErr w:type="spellEnd"/>
      <w:r>
        <w:t xml:space="preserve"> originally requested 36 houses on this Phase II site and, given their previous 're-versioning' of their agreements (i.e. their agreements have been repeatedly breached/broken, so consequently mean very little in reality to the residents of </w:t>
      </w:r>
      <w:proofErr w:type="spellStart"/>
      <w:r>
        <w:t>Beckington</w:t>
      </w:r>
      <w:proofErr w:type="spellEnd"/>
      <w:r>
        <w:t xml:space="preserve">) permissions on this site could potentially reach 36, or </w:t>
      </w:r>
      <w:r w:rsidR="006E0EEF">
        <w:t xml:space="preserve">possibly </w:t>
      </w:r>
      <w:r>
        <w:t xml:space="preserve">more, when </w:t>
      </w:r>
      <w:proofErr w:type="spellStart"/>
      <w:r>
        <w:t>actioned</w:t>
      </w:r>
      <w:proofErr w:type="spellEnd"/>
      <w:r>
        <w:t>.</w:t>
      </w:r>
    </w:p>
    <w:p w:rsidR="006F1AF2" w:rsidRPr="00FF6335" w:rsidRDefault="006F1AF2" w:rsidP="006F1AF2">
      <w:pPr>
        <w:pStyle w:val="ListParagraph"/>
        <w:numPr>
          <w:ilvl w:val="0"/>
          <w:numId w:val="4"/>
        </w:numPr>
        <w:rPr>
          <w:b/>
          <w:color w:val="002060"/>
        </w:rPr>
      </w:pPr>
      <w:r>
        <w:t xml:space="preserve">Highways England have reported that the (BP/M&amp;S) A36 roundabout is at saturation point.  Further development by </w:t>
      </w:r>
      <w:proofErr w:type="spellStart"/>
      <w:r>
        <w:t>Redrow</w:t>
      </w:r>
      <w:proofErr w:type="spellEnd"/>
      <w:r>
        <w:t xml:space="preserve"> at Great Dunns Close would add to the congestion at this point.  The long traffic queues at this roundabout experienced twice daily during rush hours </w:t>
      </w:r>
      <w:r>
        <w:lastRenderedPageBreak/>
        <w:t>are something MDC and all those public bodies who have declared a 'Climate Emergency' should be working to mini</w:t>
      </w:r>
      <w:r w:rsidR="002B32E4">
        <w:t xml:space="preserve">mise/reduce, rather that support </w:t>
      </w:r>
      <w:proofErr w:type="spellStart"/>
      <w:r w:rsidR="002B32E4">
        <w:t>Redrow</w:t>
      </w:r>
      <w:proofErr w:type="spellEnd"/>
      <w:r w:rsidR="002B32E4">
        <w:t xml:space="preserve"> II</w:t>
      </w:r>
      <w:r w:rsidR="00D67A98">
        <w:t>,</w:t>
      </w:r>
      <w:r w:rsidR="002B32E4">
        <w:t xml:space="preserve"> which is effectively the promotion of</w:t>
      </w:r>
      <w:r>
        <w:t xml:space="preserve"> a </w:t>
      </w:r>
      <w:r w:rsidR="002B32E4">
        <w:t xml:space="preserve">planning </w:t>
      </w:r>
      <w:r>
        <w:t xml:space="preserve">scenario </w:t>
      </w:r>
      <w:r w:rsidR="002B32E4">
        <w:t>which will enhance</w:t>
      </w:r>
      <w:r>
        <w:t xml:space="preserve"> further traffic idling.</w:t>
      </w:r>
      <w:r w:rsidR="00871968">
        <w:t xml:space="preserve"> </w:t>
      </w:r>
      <w:r w:rsidR="00871968">
        <w:br/>
      </w:r>
      <w:r w:rsidR="00871968" w:rsidRPr="00FF6335">
        <w:rPr>
          <w:b/>
          <w:color w:val="002060"/>
        </w:rPr>
        <w:t xml:space="preserve">In addition, all vehicles will have to enter and exit through an existing </w:t>
      </w:r>
      <w:r w:rsidR="006828DB" w:rsidRPr="00FF6335">
        <w:rPr>
          <w:b/>
          <w:color w:val="002060"/>
        </w:rPr>
        <w:t>residential</w:t>
      </w:r>
      <w:r w:rsidR="00871968" w:rsidRPr="00FF6335">
        <w:rPr>
          <w:b/>
          <w:color w:val="002060"/>
        </w:rPr>
        <w:t xml:space="preserve"> area.</w:t>
      </w:r>
      <w:r w:rsidR="00871968" w:rsidRPr="00FF6335">
        <w:rPr>
          <w:b/>
          <w:color w:val="002060"/>
        </w:rPr>
        <w:br/>
        <w:t>Thus this site proposal does not meet key requirements in Section 9 of the National Planning Policy Framework (NPPF).</w:t>
      </w:r>
    </w:p>
    <w:p w:rsidR="003F0837" w:rsidRPr="00492224" w:rsidRDefault="002B32E4" w:rsidP="006E0EEF">
      <w:pPr>
        <w:pStyle w:val="ListParagraph"/>
        <w:numPr>
          <w:ilvl w:val="0"/>
          <w:numId w:val="4"/>
        </w:numPr>
        <w:rPr>
          <w:i/>
        </w:rPr>
      </w:pPr>
      <w:proofErr w:type="spellStart"/>
      <w:r>
        <w:t>Redrow</w:t>
      </w:r>
      <w:proofErr w:type="spellEnd"/>
      <w:r>
        <w:t xml:space="preserve"> II will have a negative impact on the setting of the </w:t>
      </w:r>
      <w:proofErr w:type="spellStart"/>
      <w:r>
        <w:t>Beckington</w:t>
      </w:r>
      <w:proofErr w:type="spellEnd"/>
      <w:r>
        <w:t xml:space="preserve"> Conservation Area and a number of the listed buildings in Goose Street. (see Appeal Decision 11.7.2018 by Planning Inspector R J Jackson </w:t>
      </w:r>
      <w:proofErr w:type="spellStart"/>
      <w:r>
        <w:t>para</w:t>
      </w:r>
      <w:proofErr w:type="spellEnd"/>
      <w:r>
        <w:t>. 7)</w:t>
      </w:r>
      <w:r w:rsidR="00871968">
        <w:br/>
      </w:r>
      <w:r w:rsidR="00871968" w:rsidRPr="00FF6335">
        <w:rPr>
          <w:b/>
          <w:color w:val="002060"/>
        </w:rPr>
        <w:t>This proposal fails regarding NPPF Sections 15 and 16.</w:t>
      </w:r>
      <w:r w:rsidRPr="00871968">
        <w:rPr>
          <w:color w:val="002060"/>
        </w:rPr>
        <w:br/>
      </w:r>
      <w:r>
        <w:t xml:space="preserve">- </w:t>
      </w:r>
      <w:proofErr w:type="spellStart"/>
      <w:r>
        <w:t>Redrow</w:t>
      </w:r>
      <w:proofErr w:type="spellEnd"/>
      <w:r>
        <w:t xml:space="preserve"> II is proposed on high ground and would be dominating over Goose Street. </w:t>
      </w:r>
      <w:r w:rsidRPr="002B32E4">
        <w:rPr>
          <w:i/>
        </w:rPr>
        <w:t xml:space="preserve">"This would increase the prominence of the development and harmfully affect the settings and thus significances of the </w:t>
      </w:r>
      <w:proofErr w:type="spellStart"/>
      <w:r w:rsidRPr="002B32E4">
        <w:rPr>
          <w:i/>
        </w:rPr>
        <w:t>Beckington</w:t>
      </w:r>
      <w:proofErr w:type="spellEnd"/>
      <w:r w:rsidRPr="002B32E4">
        <w:rPr>
          <w:i/>
        </w:rPr>
        <w:t xml:space="preserve"> Conservation Area and the various listed buildings identified, particularly </w:t>
      </w:r>
      <w:proofErr w:type="spellStart"/>
      <w:r w:rsidRPr="002B32E4">
        <w:rPr>
          <w:i/>
        </w:rPr>
        <w:t>Nos</w:t>
      </w:r>
      <w:proofErr w:type="spellEnd"/>
      <w:r w:rsidRPr="002B32E4">
        <w:rPr>
          <w:i/>
        </w:rPr>
        <w:t xml:space="preserve"> 41 and 49A."</w:t>
      </w:r>
      <w:r>
        <w:t xml:space="preserve"> (Appeal Decision 11.7.2018 </w:t>
      </w:r>
      <w:proofErr w:type="spellStart"/>
      <w:r>
        <w:t>para</w:t>
      </w:r>
      <w:proofErr w:type="spellEnd"/>
      <w:r w:rsidR="00492224">
        <w:t>.</w:t>
      </w:r>
      <w:r>
        <w:t xml:space="preserve"> 34)</w:t>
      </w:r>
      <w:r w:rsidR="00492224">
        <w:br/>
        <w:t>- The proposed landscaping would reduce the effect of the proposed built development, but it would not completely avoid adverse effects of the proposed dwellings</w:t>
      </w:r>
      <w:r w:rsidR="00D67A98">
        <w:t xml:space="preserve">, </w:t>
      </w:r>
      <w:r w:rsidR="00492224">
        <w:t xml:space="preserve">or the change in character from open land to a managed open space next to the historic heritage properties.  It would take 15 years for implementation to mitigate the harm.  Although the harm to the historic link between No 49A and the appeal site could not be mitigated.  (Appeal decision 11.7.2018 </w:t>
      </w:r>
      <w:proofErr w:type="spellStart"/>
      <w:r w:rsidR="00492224">
        <w:t>para</w:t>
      </w:r>
      <w:proofErr w:type="spellEnd"/>
      <w:r w:rsidR="00492224">
        <w:t>. 35)</w:t>
      </w:r>
    </w:p>
    <w:p w:rsidR="00CB0E16" w:rsidRPr="006828DB" w:rsidRDefault="00492224" w:rsidP="00CB0E16">
      <w:pPr>
        <w:pStyle w:val="ListParagraph"/>
        <w:rPr>
          <w:b/>
          <w:color w:val="002060"/>
          <w:sz w:val="40"/>
          <w:szCs w:val="40"/>
        </w:rPr>
      </w:pPr>
      <w:r>
        <w:t xml:space="preserve">- This is a different situation to </w:t>
      </w:r>
      <w:r w:rsidRPr="00492224">
        <w:rPr>
          <w:i/>
        </w:rPr>
        <w:t>Palmer</w:t>
      </w:r>
      <w:r>
        <w:t xml:space="preserve"> where the Court of Appeal accepted that mitigation could avoid harm.  (Appeal decision 11.7.2018 </w:t>
      </w:r>
      <w:proofErr w:type="spellStart"/>
      <w:r>
        <w:t>para</w:t>
      </w:r>
      <w:proofErr w:type="spellEnd"/>
      <w:r>
        <w:t>. 36)</w:t>
      </w:r>
      <w:r w:rsidR="00CB0E16">
        <w:br/>
        <w:t xml:space="preserve">- </w:t>
      </w:r>
      <w:r w:rsidR="00CB0E16" w:rsidRPr="00CB0E16">
        <w:rPr>
          <w:i/>
        </w:rPr>
        <w:t xml:space="preserve">"The harms to the setting of the </w:t>
      </w:r>
      <w:proofErr w:type="spellStart"/>
      <w:r w:rsidR="00CB0E16" w:rsidRPr="00CB0E16">
        <w:rPr>
          <w:i/>
        </w:rPr>
        <w:t>Beckington</w:t>
      </w:r>
      <w:proofErr w:type="spellEnd"/>
      <w:r w:rsidR="00CB0E16" w:rsidRPr="00CB0E16">
        <w:rPr>
          <w:i/>
        </w:rPr>
        <w:t xml:space="preserve"> Conservation Area and the listed buildings are all less than substantial to the significance of the heritage assets.  This means compliance or otherwise with DP3 of the LPP1 will depend on this harm being weighed against the public benefits of the proposal, although special attention and great weight should be given to preserving the settings of the listed buildings and the conservation area."</w:t>
      </w:r>
      <w:r w:rsidR="00CB0E16">
        <w:t xml:space="preserve">  (Appeal decision 11.7.2018 </w:t>
      </w:r>
      <w:proofErr w:type="spellStart"/>
      <w:r w:rsidR="00CB0E16">
        <w:t>para</w:t>
      </w:r>
      <w:proofErr w:type="spellEnd"/>
      <w:r w:rsidR="00CB0E16">
        <w:t>. 37)</w:t>
      </w:r>
      <w:r w:rsidR="00CB0E16">
        <w:br/>
      </w:r>
      <w:r w:rsidR="00CB0E16" w:rsidRPr="00CB0E16">
        <w:rPr>
          <w:b/>
        </w:rPr>
        <w:t>Therefore</w:t>
      </w:r>
      <w:r w:rsidR="00D67A98">
        <w:rPr>
          <w:b/>
        </w:rPr>
        <w:t>,</w:t>
      </w:r>
      <w:r w:rsidR="00CB0E16" w:rsidRPr="00CB0E16">
        <w:rPr>
          <w:b/>
        </w:rPr>
        <w:t xml:space="preserve"> </w:t>
      </w:r>
      <w:r w:rsidR="00CB0E16" w:rsidRPr="00CB0E16">
        <w:rPr>
          <w:b/>
          <w:sz w:val="144"/>
          <w:szCs w:val="144"/>
        </w:rPr>
        <w:t>if</w:t>
      </w:r>
      <w:r w:rsidR="00CB0E16">
        <w:rPr>
          <w:b/>
        </w:rPr>
        <w:t xml:space="preserve"> </w:t>
      </w:r>
      <w:r w:rsidR="00EA61E9">
        <w:rPr>
          <w:b/>
        </w:rPr>
        <w:t xml:space="preserve">it is decided by the Planning Inspector that </w:t>
      </w:r>
      <w:proofErr w:type="spellStart"/>
      <w:r w:rsidR="004F325E" w:rsidRPr="00CB0E16">
        <w:rPr>
          <w:b/>
        </w:rPr>
        <w:t>Beckington</w:t>
      </w:r>
      <w:proofErr w:type="spellEnd"/>
      <w:r w:rsidR="004F325E" w:rsidRPr="00CB0E16">
        <w:rPr>
          <w:b/>
        </w:rPr>
        <w:t xml:space="preserve"> has to take furth</w:t>
      </w:r>
      <w:r w:rsidR="00CB0E16">
        <w:rPr>
          <w:b/>
        </w:rPr>
        <w:t xml:space="preserve">er housing to </w:t>
      </w:r>
      <w:r w:rsidR="00D67A98">
        <w:rPr>
          <w:b/>
        </w:rPr>
        <w:t>get sign-off</w:t>
      </w:r>
      <w:r w:rsidR="004F325E" w:rsidRPr="00CB0E16">
        <w:rPr>
          <w:b/>
        </w:rPr>
        <w:t xml:space="preserve"> of LPP2</w:t>
      </w:r>
      <w:r w:rsidR="00EA61E9">
        <w:rPr>
          <w:b/>
        </w:rPr>
        <w:t>,</w:t>
      </w:r>
      <w:r w:rsidR="004F325E" w:rsidRPr="00CB0E16">
        <w:rPr>
          <w:b/>
        </w:rPr>
        <w:t xml:space="preserve"> the</w:t>
      </w:r>
      <w:r w:rsidR="006E0EEF" w:rsidRPr="00CB0E16">
        <w:rPr>
          <w:b/>
        </w:rPr>
        <w:t>n the</w:t>
      </w:r>
      <w:r w:rsidR="004F325E" w:rsidRPr="00CB0E16">
        <w:rPr>
          <w:b/>
        </w:rPr>
        <w:t xml:space="preserve"> </w:t>
      </w:r>
      <w:r w:rsidR="006828DB">
        <w:rPr>
          <w:b/>
        </w:rPr>
        <w:t>Warminster Road s</w:t>
      </w:r>
      <w:r w:rsidR="00CC31F9" w:rsidRPr="00CB0E16">
        <w:rPr>
          <w:b/>
        </w:rPr>
        <w:t xml:space="preserve">ite </w:t>
      </w:r>
      <w:r w:rsidR="004F325E" w:rsidRPr="00CB0E16">
        <w:rPr>
          <w:b/>
        </w:rPr>
        <w:t>allocation</w:t>
      </w:r>
      <w:r w:rsidR="006828DB">
        <w:rPr>
          <w:b/>
        </w:rPr>
        <w:t>,</w:t>
      </w:r>
      <w:r w:rsidR="004F325E" w:rsidRPr="00CB0E16">
        <w:rPr>
          <w:b/>
        </w:rPr>
        <w:t xml:space="preserve"> for 45 units</w:t>
      </w:r>
      <w:r w:rsidR="006828DB">
        <w:rPr>
          <w:b/>
        </w:rPr>
        <w:t xml:space="preserve">, </w:t>
      </w:r>
      <w:r w:rsidR="004F325E" w:rsidRPr="00CB0E16">
        <w:rPr>
          <w:b/>
        </w:rPr>
        <w:t xml:space="preserve">offers the best </w:t>
      </w:r>
      <w:r w:rsidR="008D6AC0">
        <w:rPr>
          <w:b/>
        </w:rPr>
        <w:t>pro</w:t>
      </w:r>
      <w:r w:rsidR="004F325E" w:rsidRPr="00CB0E16">
        <w:rPr>
          <w:b/>
        </w:rPr>
        <w:t>position for the village</w:t>
      </w:r>
      <w:r w:rsidR="00EA61E9">
        <w:rPr>
          <w:b/>
        </w:rPr>
        <w:t xml:space="preserve"> to be developed with the maximum planning gain and the minimum planning harm and is thus the more sustainable option</w:t>
      </w:r>
      <w:r w:rsidR="006828DB">
        <w:rPr>
          <w:b/>
        </w:rPr>
        <w:t xml:space="preserve"> </w:t>
      </w:r>
      <w:r w:rsidR="006828DB">
        <w:rPr>
          <w:b/>
        </w:rPr>
        <w:br/>
      </w:r>
      <w:r w:rsidR="006828DB" w:rsidRPr="006828DB">
        <w:rPr>
          <w:b/>
          <w:color w:val="002060"/>
          <w:sz w:val="24"/>
          <w:szCs w:val="24"/>
        </w:rPr>
        <w:t>NB in accordance with NPPF Section 2</w:t>
      </w:r>
      <w:r w:rsidR="00EA61E9" w:rsidRPr="006828DB">
        <w:rPr>
          <w:b/>
          <w:color w:val="002060"/>
          <w:sz w:val="24"/>
          <w:szCs w:val="24"/>
        </w:rPr>
        <w:t>.</w:t>
      </w:r>
      <w:r w:rsidR="006E0EEF" w:rsidRPr="006828DB">
        <w:rPr>
          <w:b/>
          <w:color w:val="002060"/>
          <w:sz w:val="40"/>
          <w:szCs w:val="40"/>
        </w:rPr>
        <w:t xml:space="preserve"> </w:t>
      </w:r>
    </w:p>
    <w:p w:rsidR="00CB0E16" w:rsidRDefault="00CB0E16" w:rsidP="00CB0E16">
      <w:pPr>
        <w:pStyle w:val="ListParagraph"/>
        <w:rPr>
          <w:b/>
          <w:sz w:val="40"/>
          <w:szCs w:val="40"/>
        </w:rPr>
      </w:pPr>
    </w:p>
    <w:p w:rsidR="00D14618" w:rsidRDefault="00D14618">
      <w:pPr>
        <w:rPr>
          <w:b/>
          <w:sz w:val="36"/>
          <w:szCs w:val="36"/>
        </w:rPr>
      </w:pPr>
      <w:r>
        <w:rPr>
          <w:b/>
          <w:sz w:val="36"/>
          <w:szCs w:val="36"/>
        </w:rPr>
        <w:br w:type="page"/>
      </w:r>
    </w:p>
    <w:p w:rsidR="00CC31F9" w:rsidRPr="008D6AC0" w:rsidRDefault="00CB0E16" w:rsidP="00CB0E16">
      <w:pPr>
        <w:pStyle w:val="ListParagraph"/>
        <w:rPr>
          <w:rFonts w:ascii="Calibri" w:eastAsia="Times New Roman" w:hAnsi="Calibri" w:cs="Calibri"/>
          <w:b/>
          <w:color w:val="201F1E"/>
          <w:sz w:val="36"/>
          <w:szCs w:val="36"/>
          <w:lang w:eastAsia="en-GB"/>
        </w:rPr>
      </w:pPr>
      <w:r w:rsidRPr="008D6AC0">
        <w:rPr>
          <w:b/>
          <w:sz w:val="36"/>
          <w:szCs w:val="36"/>
        </w:rPr>
        <w:lastRenderedPageBreak/>
        <w:t xml:space="preserve">The Warminster Road </w:t>
      </w:r>
      <w:r w:rsidR="006828DB">
        <w:rPr>
          <w:b/>
          <w:sz w:val="36"/>
          <w:szCs w:val="36"/>
        </w:rPr>
        <w:t xml:space="preserve">site allocation, even though </w:t>
      </w:r>
      <w:r w:rsidRPr="008D6AC0">
        <w:rPr>
          <w:b/>
          <w:sz w:val="36"/>
          <w:szCs w:val="36"/>
        </w:rPr>
        <w:t>45 units</w:t>
      </w:r>
      <w:r w:rsidR="006828DB">
        <w:rPr>
          <w:b/>
          <w:sz w:val="36"/>
          <w:szCs w:val="36"/>
        </w:rPr>
        <w:t>,</w:t>
      </w:r>
      <w:r w:rsidRPr="008D6AC0">
        <w:rPr>
          <w:b/>
          <w:sz w:val="36"/>
          <w:szCs w:val="36"/>
        </w:rPr>
        <w:t xml:space="preserve"> offers the best </w:t>
      </w:r>
      <w:r w:rsidR="00D14618">
        <w:rPr>
          <w:b/>
          <w:sz w:val="36"/>
          <w:szCs w:val="36"/>
        </w:rPr>
        <w:t xml:space="preserve">future development </w:t>
      </w:r>
      <w:r w:rsidR="008D6AC0" w:rsidRPr="008D6AC0">
        <w:rPr>
          <w:b/>
          <w:sz w:val="36"/>
          <w:szCs w:val="36"/>
        </w:rPr>
        <w:t>pro</w:t>
      </w:r>
      <w:r w:rsidRPr="008D6AC0">
        <w:rPr>
          <w:b/>
          <w:sz w:val="36"/>
          <w:szCs w:val="36"/>
        </w:rPr>
        <w:t xml:space="preserve">position for the village </w:t>
      </w:r>
      <w:r w:rsidR="006E0EEF" w:rsidRPr="008D6AC0">
        <w:rPr>
          <w:b/>
          <w:sz w:val="36"/>
          <w:szCs w:val="36"/>
        </w:rPr>
        <w:t>because of the following</w:t>
      </w:r>
      <w:r w:rsidR="00CC31F9" w:rsidRPr="008D6AC0">
        <w:rPr>
          <w:b/>
          <w:sz w:val="36"/>
          <w:szCs w:val="36"/>
        </w:rPr>
        <w:t>:</w:t>
      </w:r>
    </w:p>
    <w:p w:rsidR="009A361E" w:rsidRDefault="009A361E" w:rsidP="00CC31F9">
      <w:pPr>
        <w:numPr>
          <w:ilvl w:val="0"/>
          <w:numId w:val="1"/>
        </w:numPr>
        <w:shd w:val="clear" w:color="auto" w:fill="FFFFFF"/>
        <w:spacing w:after="0" w:line="240" w:lineRule="auto"/>
        <w:rPr>
          <w:rFonts w:ascii="Calibri" w:eastAsia="Times New Roman" w:hAnsi="Calibri" w:cs="Calibri"/>
          <w:color w:val="201F1E"/>
          <w:lang w:eastAsia="en-GB"/>
        </w:rPr>
      </w:pPr>
      <w:r>
        <w:rPr>
          <w:rFonts w:ascii="Calibri" w:eastAsia="Times New Roman" w:hAnsi="Calibri" w:cs="Calibri"/>
          <w:color w:val="201F1E"/>
          <w:lang w:eastAsia="en-GB"/>
        </w:rPr>
        <w:t xml:space="preserve">no harm to the setting of </w:t>
      </w:r>
      <w:proofErr w:type="spellStart"/>
      <w:r>
        <w:rPr>
          <w:rFonts w:ascii="Calibri" w:eastAsia="Times New Roman" w:hAnsi="Calibri" w:cs="Calibri"/>
          <w:color w:val="201F1E"/>
          <w:lang w:eastAsia="en-GB"/>
        </w:rPr>
        <w:t>Beckington's</w:t>
      </w:r>
      <w:proofErr w:type="spellEnd"/>
      <w:r>
        <w:rPr>
          <w:rFonts w:ascii="Calibri" w:eastAsia="Times New Roman" w:hAnsi="Calibri" w:cs="Calibri"/>
          <w:color w:val="201F1E"/>
          <w:lang w:eastAsia="en-GB"/>
        </w:rPr>
        <w:t xml:space="preserve"> Conservation area</w:t>
      </w:r>
      <w:r w:rsidR="00871968">
        <w:rPr>
          <w:rFonts w:ascii="Calibri" w:eastAsia="Times New Roman" w:hAnsi="Calibri" w:cs="Calibri"/>
          <w:color w:val="201F1E"/>
          <w:lang w:eastAsia="en-GB"/>
        </w:rPr>
        <w:t xml:space="preserve"> </w:t>
      </w:r>
      <w:r w:rsidR="00871968" w:rsidRPr="00FF6335">
        <w:rPr>
          <w:rFonts w:ascii="Calibri" w:eastAsia="Times New Roman" w:hAnsi="Calibri" w:cs="Calibri"/>
          <w:b/>
          <w:color w:val="201F1E"/>
          <w:lang w:eastAsia="en-GB"/>
        </w:rPr>
        <w:t xml:space="preserve">- </w:t>
      </w:r>
      <w:r w:rsidR="00871968" w:rsidRPr="00FF6335">
        <w:rPr>
          <w:rFonts w:ascii="Calibri" w:eastAsia="Times New Roman" w:hAnsi="Calibri" w:cs="Calibri"/>
          <w:b/>
          <w:color w:val="002060"/>
          <w:lang w:eastAsia="en-GB"/>
        </w:rPr>
        <w:t xml:space="preserve">according with NPPF </w:t>
      </w:r>
      <w:r w:rsidR="006828DB" w:rsidRPr="00FF6335">
        <w:rPr>
          <w:rFonts w:ascii="Calibri" w:eastAsia="Times New Roman" w:hAnsi="Calibri" w:cs="Calibri"/>
          <w:b/>
          <w:color w:val="002060"/>
          <w:lang w:eastAsia="en-GB"/>
        </w:rPr>
        <w:t>Section 16</w:t>
      </w:r>
    </w:p>
    <w:p w:rsidR="009A361E" w:rsidRPr="00FF6335" w:rsidRDefault="009A361E" w:rsidP="00CC31F9">
      <w:pPr>
        <w:numPr>
          <w:ilvl w:val="0"/>
          <w:numId w:val="1"/>
        </w:numPr>
        <w:shd w:val="clear" w:color="auto" w:fill="FFFFFF"/>
        <w:spacing w:after="0" w:line="240" w:lineRule="auto"/>
        <w:rPr>
          <w:rFonts w:ascii="Calibri" w:eastAsia="Times New Roman" w:hAnsi="Calibri" w:cs="Calibri"/>
          <w:b/>
          <w:color w:val="201F1E"/>
          <w:lang w:eastAsia="en-GB"/>
        </w:rPr>
      </w:pPr>
      <w:r>
        <w:rPr>
          <w:rFonts w:ascii="Calibri" w:eastAsia="Times New Roman" w:hAnsi="Calibri" w:cs="Calibri"/>
          <w:color w:val="201F1E"/>
          <w:lang w:eastAsia="en-GB"/>
        </w:rPr>
        <w:t xml:space="preserve">no harm to any of </w:t>
      </w:r>
      <w:proofErr w:type="spellStart"/>
      <w:r>
        <w:rPr>
          <w:rFonts w:ascii="Calibri" w:eastAsia="Times New Roman" w:hAnsi="Calibri" w:cs="Calibri"/>
          <w:color w:val="201F1E"/>
          <w:lang w:eastAsia="en-GB"/>
        </w:rPr>
        <w:t>Beckington's</w:t>
      </w:r>
      <w:proofErr w:type="spellEnd"/>
      <w:r>
        <w:rPr>
          <w:rFonts w:ascii="Calibri" w:eastAsia="Times New Roman" w:hAnsi="Calibri" w:cs="Calibri"/>
          <w:color w:val="201F1E"/>
          <w:lang w:eastAsia="en-GB"/>
        </w:rPr>
        <w:t xml:space="preserve"> 100+ listed buildings - this site simply being</w:t>
      </w:r>
      <w:r w:rsidR="006828DB">
        <w:rPr>
          <w:rFonts w:ascii="Calibri" w:eastAsia="Times New Roman" w:hAnsi="Calibri" w:cs="Calibri"/>
          <w:color w:val="201F1E"/>
          <w:lang w:eastAsia="en-GB"/>
        </w:rPr>
        <w:t xml:space="preserve"> infill to the dual carriageway/A36 </w:t>
      </w:r>
      <w:proofErr w:type="spellStart"/>
      <w:r>
        <w:rPr>
          <w:rFonts w:ascii="Calibri" w:eastAsia="Times New Roman" w:hAnsi="Calibri" w:cs="Calibri"/>
          <w:color w:val="201F1E"/>
          <w:lang w:eastAsia="en-GB"/>
        </w:rPr>
        <w:t>Beckington</w:t>
      </w:r>
      <w:proofErr w:type="spellEnd"/>
      <w:r>
        <w:rPr>
          <w:rFonts w:ascii="Calibri" w:eastAsia="Times New Roman" w:hAnsi="Calibri" w:cs="Calibri"/>
          <w:color w:val="201F1E"/>
          <w:lang w:eastAsia="en-GB"/>
        </w:rPr>
        <w:t xml:space="preserve"> by-pass</w:t>
      </w:r>
      <w:r w:rsidR="006828DB" w:rsidRPr="006828DB">
        <w:rPr>
          <w:rFonts w:ascii="Calibri" w:eastAsia="Times New Roman" w:hAnsi="Calibri" w:cs="Calibri"/>
          <w:color w:val="002060"/>
          <w:lang w:eastAsia="en-GB"/>
        </w:rPr>
        <w:t xml:space="preserve"> </w:t>
      </w:r>
      <w:r w:rsidR="006828DB" w:rsidRPr="00FF6335">
        <w:rPr>
          <w:rFonts w:ascii="Calibri" w:eastAsia="Times New Roman" w:hAnsi="Calibri" w:cs="Calibri"/>
          <w:b/>
          <w:color w:val="002060"/>
          <w:lang w:eastAsia="en-GB"/>
        </w:rPr>
        <w:t>- according with NPPF Section 16</w:t>
      </w:r>
    </w:p>
    <w:p w:rsidR="006E0EEF" w:rsidRDefault="00C62338" w:rsidP="00CC31F9">
      <w:pPr>
        <w:numPr>
          <w:ilvl w:val="0"/>
          <w:numId w:val="1"/>
        </w:numPr>
        <w:shd w:val="clear" w:color="auto" w:fill="FFFFFF"/>
        <w:spacing w:after="0" w:line="240" w:lineRule="auto"/>
        <w:rPr>
          <w:rFonts w:ascii="Calibri" w:eastAsia="Times New Roman" w:hAnsi="Calibri" w:cs="Calibri"/>
          <w:color w:val="201F1E"/>
          <w:lang w:eastAsia="en-GB"/>
        </w:rPr>
      </w:pPr>
      <w:r>
        <w:rPr>
          <w:rFonts w:ascii="Calibri" w:eastAsia="Times New Roman" w:hAnsi="Calibri" w:cs="Calibri"/>
          <w:color w:val="201F1E"/>
          <w:lang w:eastAsia="en-GB"/>
        </w:rPr>
        <w:t>foul drainage is</w:t>
      </w:r>
      <w:r w:rsidR="006E0EEF">
        <w:rPr>
          <w:rFonts w:ascii="Calibri" w:eastAsia="Times New Roman" w:hAnsi="Calibri" w:cs="Calibri"/>
          <w:color w:val="201F1E"/>
          <w:lang w:eastAsia="en-GB"/>
        </w:rPr>
        <w:t xml:space="preserve"> </w:t>
      </w:r>
      <w:r>
        <w:rPr>
          <w:rFonts w:ascii="Calibri" w:eastAsia="Times New Roman" w:hAnsi="Calibri" w:cs="Calibri"/>
          <w:color w:val="201F1E"/>
          <w:lang w:eastAsia="en-GB"/>
        </w:rPr>
        <w:t>a</w:t>
      </w:r>
      <w:r w:rsidR="006E0EEF">
        <w:rPr>
          <w:rFonts w:ascii="Calibri" w:eastAsia="Times New Roman" w:hAnsi="Calibri" w:cs="Calibri"/>
          <w:color w:val="201F1E"/>
          <w:lang w:eastAsia="en-GB"/>
        </w:rPr>
        <w:t xml:space="preserve">n </w:t>
      </w:r>
      <w:r>
        <w:rPr>
          <w:rFonts w:ascii="Calibri" w:eastAsia="Times New Roman" w:hAnsi="Calibri" w:cs="Calibri"/>
          <w:color w:val="201F1E"/>
          <w:lang w:eastAsia="en-GB"/>
        </w:rPr>
        <w:t xml:space="preserve">issue </w:t>
      </w:r>
      <w:r w:rsidR="006E0EEF">
        <w:rPr>
          <w:rFonts w:ascii="Calibri" w:eastAsia="Times New Roman" w:hAnsi="Calibri" w:cs="Calibri"/>
          <w:color w:val="201F1E"/>
          <w:lang w:eastAsia="en-GB"/>
        </w:rPr>
        <w:t>predominantly on Goose Street and at the bottom end of Bath Road where blockages occur</w:t>
      </w:r>
      <w:r>
        <w:rPr>
          <w:rFonts w:ascii="Calibri" w:eastAsia="Times New Roman" w:hAnsi="Calibri" w:cs="Calibri"/>
          <w:color w:val="201F1E"/>
          <w:lang w:eastAsia="en-GB"/>
        </w:rPr>
        <w:t>, but not on the Warminster Road</w:t>
      </w:r>
      <w:r w:rsidR="006828DB">
        <w:rPr>
          <w:rFonts w:ascii="Calibri" w:eastAsia="Times New Roman" w:hAnsi="Calibri" w:cs="Calibri"/>
          <w:color w:val="201F1E"/>
          <w:lang w:eastAsia="en-GB"/>
        </w:rPr>
        <w:t xml:space="preserve"> </w:t>
      </w:r>
    </w:p>
    <w:p w:rsidR="00CC31F9" w:rsidRDefault="00CC31F9" w:rsidP="00CC31F9">
      <w:pPr>
        <w:numPr>
          <w:ilvl w:val="0"/>
          <w:numId w:val="1"/>
        </w:numPr>
        <w:shd w:val="clear" w:color="auto" w:fill="FFFFFF"/>
        <w:spacing w:after="0" w:line="240" w:lineRule="auto"/>
        <w:rPr>
          <w:rFonts w:ascii="Calibri" w:eastAsia="Times New Roman" w:hAnsi="Calibri" w:cs="Calibri"/>
          <w:color w:val="201F1E"/>
          <w:lang w:eastAsia="en-GB"/>
        </w:rPr>
      </w:pPr>
      <w:r w:rsidRPr="00CC31F9">
        <w:rPr>
          <w:rFonts w:ascii="Calibri" w:eastAsia="Times New Roman" w:hAnsi="Calibri" w:cs="Calibri"/>
          <w:color w:val="201F1E"/>
          <w:lang w:eastAsia="en-GB"/>
        </w:rPr>
        <w:t>30% affordable housing</w:t>
      </w:r>
      <w:r w:rsidR="006828DB">
        <w:rPr>
          <w:rFonts w:ascii="Calibri" w:eastAsia="Times New Roman" w:hAnsi="Calibri" w:cs="Calibri"/>
          <w:color w:val="201F1E"/>
          <w:lang w:eastAsia="en-GB"/>
        </w:rPr>
        <w:t xml:space="preserve"> </w:t>
      </w:r>
      <w:r w:rsidR="006828DB" w:rsidRPr="00FF6335">
        <w:rPr>
          <w:rFonts w:ascii="Calibri" w:eastAsia="Times New Roman" w:hAnsi="Calibri" w:cs="Calibri"/>
          <w:b/>
          <w:color w:val="201F1E"/>
          <w:lang w:eastAsia="en-GB"/>
        </w:rPr>
        <w:t xml:space="preserve">- </w:t>
      </w:r>
      <w:r w:rsidR="006828DB" w:rsidRPr="00FF6335">
        <w:rPr>
          <w:rFonts w:ascii="Calibri" w:eastAsia="Times New Roman" w:hAnsi="Calibri" w:cs="Calibri"/>
          <w:b/>
          <w:color w:val="002060"/>
          <w:lang w:eastAsia="en-GB"/>
        </w:rPr>
        <w:t>meeting NPPF Section 5 requirements</w:t>
      </w:r>
    </w:p>
    <w:p w:rsidR="00CC31F9" w:rsidRDefault="00E101A0" w:rsidP="00CC31F9">
      <w:pPr>
        <w:numPr>
          <w:ilvl w:val="0"/>
          <w:numId w:val="1"/>
        </w:numPr>
        <w:shd w:val="clear" w:color="auto" w:fill="FFFFFF"/>
        <w:spacing w:after="0" w:line="240" w:lineRule="auto"/>
        <w:rPr>
          <w:rFonts w:ascii="Calibri" w:eastAsia="Times New Roman" w:hAnsi="Calibri" w:cs="Calibri"/>
          <w:color w:val="201F1E"/>
          <w:lang w:eastAsia="en-GB"/>
        </w:rPr>
      </w:pPr>
      <w:r>
        <w:rPr>
          <w:rFonts w:ascii="Calibri" w:eastAsia="Times New Roman" w:hAnsi="Calibri" w:cs="Calibri"/>
          <w:color w:val="201F1E"/>
          <w:lang w:eastAsia="en-GB"/>
        </w:rPr>
        <w:t>A</w:t>
      </w:r>
      <w:r w:rsidR="006828DB">
        <w:rPr>
          <w:rFonts w:ascii="Calibri" w:eastAsia="Times New Roman" w:hAnsi="Calibri" w:cs="Calibri"/>
          <w:color w:val="201F1E"/>
          <w:lang w:eastAsia="en-GB"/>
        </w:rPr>
        <w:t>ccess from the Warminster Road, i.e.</w:t>
      </w:r>
      <w:r w:rsidR="009A361E">
        <w:rPr>
          <w:rFonts w:ascii="Calibri" w:eastAsia="Times New Roman" w:hAnsi="Calibri" w:cs="Calibri"/>
          <w:color w:val="201F1E"/>
          <w:lang w:eastAsia="en-GB"/>
        </w:rPr>
        <w:t xml:space="preserve"> with </w:t>
      </w:r>
      <w:r w:rsidR="00CC31F9">
        <w:rPr>
          <w:rFonts w:ascii="Calibri" w:eastAsia="Times New Roman" w:hAnsi="Calibri" w:cs="Calibri"/>
          <w:color w:val="201F1E"/>
          <w:lang w:eastAsia="en-GB"/>
        </w:rPr>
        <w:t>Wool Close remain</w:t>
      </w:r>
      <w:r w:rsidR="00D67A98">
        <w:rPr>
          <w:rFonts w:ascii="Calibri" w:eastAsia="Times New Roman" w:hAnsi="Calibri" w:cs="Calibri"/>
          <w:color w:val="201F1E"/>
          <w:lang w:eastAsia="en-GB"/>
        </w:rPr>
        <w:t>ing</w:t>
      </w:r>
      <w:r w:rsidR="00CC31F9">
        <w:rPr>
          <w:rFonts w:ascii="Calibri" w:eastAsia="Times New Roman" w:hAnsi="Calibri" w:cs="Calibri"/>
          <w:color w:val="201F1E"/>
          <w:lang w:eastAsia="en-GB"/>
        </w:rPr>
        <w:t xml:space="preserve"> a cul-de-sac</w:t>
      </w:r>
      <w:r w:rsidR="006828DB">
        <w:rPr>
          <w:rFonts w:ascii="Calibri" w:eastAsia="Times New Roman" w:hAnsi="Calibri" w:cs="Calibri"/>
          <w:color w:val="201F1E"/>
          <w:lang w:eastAsia="en-GB"/>
        </w:rPr>
        <w:t xml:space="preserve"> </w:t>
      </w:r>
    </w:p>
    <w:p w:rsidR="00CC31F9" w:rsidRPr="00CC31F9" w:rsidRDefault="00E101A0" w:rsidP="00CC31F9">
      <w:pPr>
        <w:numPr>
          <w:ilvl w:val="0"/>
          <w:numId w:val="1"/>
        </w:numPr>
        <w:shd w:val="clear" w:color="auto" w:fill="FFFFFF"/>
        <w:spacing w:after="0" w:line="240" w:lineRule="auto"/>
        <w:rPr>
          <w:rFonts w:ascii="Calibri" w:eastAsia="Times New Roman" w:hAnsi="Calibri" w:cs="Calibri"/>
          <w:color w:val="201F1E"/>
          <w:lang w:eastAsia="en-GB"/>
        </w:rPr>
      </w:pPr>
      <w:r>
        <w:rPr>
          <w:rFonts w:ascii="Calibri" w:eastAsia="Times New Roman" w:hAnsi="Calibri" w:cs="Calibri"/>
          <w:color w:val="201F1E"/>
          <w:lang w:eastAsia="en-GB"/>
        </w:rPr>
        <w:t>P</w:t>
      </w:r>
      <w:r w:rsidR="00CC31F9">
        <w:rPr>
          <w:rFonts w:ascii="Calibri" w:eastAsia="Times New Roman" w:hAnsi="Calibri" w:cs="Calibri"/>
          <w:color w:val="201F1E"/>
          <w:lang w:eastAsia="en-GB"/>
        </w:rPr>
        <w:t>ublic footpath to be retained</w:t>
      </w:r>
    </w:p>
    <w:p w:rsidR="00CC31F9" w:rsidRPr="00FF6335" w:rsidRDefault="00CC31F9" w:rsidP="00CC31F9">
      <w:pPr>
        <w:numPr>
          <w:ilvl w:val="0"/>
          <w:numId w:val="1"/>
        </w:numPr>
        <w:shd w:val="clear" w:color="auto" w:fill="FFFFFF"/>
        <w:spacing w:after="0" w:line="240" w:lineRule="auto"/>
        <w:rPr>
          <w:rFonts w:ascii="Calibri" w:eastAsia="Times New Roman" w:hAnsi="Calibri" w:cs="Calibri"/>
          <w:b/>
          <w:color w:val="002060"/>
          <w:lang w:eastAsia="en-GB"/>
        </w:rPr>
      </w:pPr>
      <w:r w:rsidRPr="00CC31F9">
        <w:rPr>
          <w:rFonts w:ascii="Calibri" w:eastAsia="Times New Roman" w:hAnsi="Calibri" w:cs="Calibri"/>
          <w:color w:val="201F1E"/>
          <w:lang w:eastAsia="en-GB"/>
        </w:rPr>
        <w:t xml:space="preserve">Gifting of the </w:t>
      </w:r>
      <w:r w:rsidR="006828DB">
        <w:rPr>
          <w:rFonts w:ascii="Calibri" w:eastAsia="Times New Roman" w:hAnsi="Calibri" w:cs="Calibri"/>
          <w:color w:val="201F1E"/>
          <w:lang w:eastAsia="en-GB"/>
        </w:rPr>
        <w:t xml:space="preserve">3 acre </w:t>
      </w:r>
      <w:r w:rsidR="00D67A98">
        <w:rPr>
          <w:rFonts w:ascii="Calibri" w:eastAsia="Times New Roman" w:hAnsi="Calibri" w:cs="Calibri"/>
          <w:color w:val="201F1E"/>
          <w:lang w:eastAsia="en-GB"/>
        </w:rPr>
        <w:t>woodland to the Parish C</w:t>
      </w:r>
      <w:r w:rsidRPr="00CC31F9">
        <w:rPr>
          <w:rFonts w:ascii="Calibri" w:eastAsia="Times New Roman" w:hAnsi="Calibri" w:cs="Calibri"/>
          <w:color w:val="201F1E"/>
          <w:lang w:eastAsia="en-GB"/>
        </w:rPr>
        <w:t>ouncil with appropriate paths, trim trails installed</w:t>
      </w:r>
      <w:r w:rsidR="006828DB">
        <w:rPr>
          <w:rFonts w:ascii="Calibri" w:eastAsia="Times New Roman" w:hAnsi="Calibri" w:cs="Calibri"/>
          <w:color w:val="201F1E"/>
          <w:lang w:eastAsia="en-GB"/>
        </w:rPr>
        <w:t xml:space="preserve"> - </w:t>
      </w:r>
      <w:r w:rsidR="00FF6335">
        <w:rPr>
          <w:rFonts w:ascii="Calibri" w:eastAsia="Times New Roman" w:hAnsi="Calibri" w:cs="Calibri"/>
          <w:b/>
          <w:color w:val="002060"/>
          <w:lang w:eastAsia="en-GB"/>
        </w:rPr>
        <w:t>i</w:t>
      </w:r>
      <w:r w:rsidR="006828DB" w:rsidRPr="00FF6335">
        <w:rPr>
          <w:rFonts w:ascii="Calibri" w:eastAsia="Times New Roman" w:hAnsi="Calibri" w:cs="Calibri"/>
          <w:b/>
          <w:color w:val="002060"/>
          <w:lang w:eastAsia="en-GB"/>
        </w:rPr>
        <w:t>n accordance with NPPF Sections 8, 11, 12, 14</w:t>
      </w:r>
      <w:r w:rsidR="00FF6335" w:rsidRPr="00FF6335">
        <w:rPr>
          <w:rFonts w:ascii="Calibri" w:eastAsia="Times New Roman" w:hAnsi="Calibri" w:cs="Calibri"/>
          <w:b/>
          <w:color w:val="002060"/>
          <w:lang w:eastAsia="en-GB"/>
        </w:rPr>
        <w:t xml:space="preserve"> and 15.</w:t>
      </w:r>
    </w:p>
    <w:p w:rsidR="00CC31F9" w:rsidRPr="00FF6335" w:rsidRDefault="00CC31F9" w:rsidP="00CC31F9">
      <w:pPr>
        <w:numPr>
          <w:ilvl w:val="0"/>
          <w:numId w:val="1"/>
        </w:numPr>
        <w:shd w:val="clear" w:color="auto" w:fill="FFFFFF"/>
        <w:spacing w:after="0" w:line="240" w:lineRule="auto"/>
        <w:rPr>
          <w:rFonts w:ascii="Calibri" w:eastAsia="Times New Roman" w:hAnsi="Calibri" w:cs="Calibri"/>
          <w:b/>
          <w:color w:val="002060"/>
          <w:lang w:eastAsia="en-GB"/>
        </w:rPr>
      </w:pPr>
      <w:r w:rsidRPr="00CC31F9">
        <w:rPr>
          <w:rFonts w:ascii="Calibri" w:eastAsia="Times New Roman" w:hAnsi="Calibri" w:cs="Calibri"/>
          <w:color w:val="201F1E"/>
          <w:lang w:eastAsia="en-GB"/>
        </w:rPr>
        <w:t>Completion of the path</w:t>
      </w:r>
      <w:r>
        <w:rPr>
          <w:rFonts w:ascii="Calibri" w:eastAsia="Times New Roman" w:hAnsi="Calibri" w:cs="Calibri"/>
          <w:color w:val="201F1E"/>
          <w:lang w:eastAsia="en-GB"/>
        </w:rPr>
        <w:t>/steps/ramp</w:t>
      </w:r>
      <w:r w:rsidRPr="00CC31F9">
        <w:rPr>
          <w:rFonts w:ascii="Calibri" w:eastAsia="Times New Roman" w:hAnsi="Calibri" w:cs="Calibri"/>
          <w:color w:val="201F1E"/>
          <w:lang w:eastAsia="en-GB"/>
        </w:rPr>
        <w:t xml:space="preserve"> from the </w:t>
      </w:r>
      <w:r>
        <w:rPr>
          <w:rFonts w:ascii="Calibri" w:eastAsia="Times New Roman" w:hAnsi="Calibri" w:cs="Calibri"/>
          <w:color w:val="201F1E"/>
          <w:lang w:eastAsia="en-GB"/>
        </w:rPr>
        <w:t>new David Wilson 'white elephant'</w:t>
      </w:r>
      <w:r w:rsidRPr="00CC31F9">
        <w:rPr>
          <w:rFonts w:ascii="Calibri" w:eastAsia="Times New Roman" w:hAnsi="Calibri" w:cs="Calibri"/>
          <w:color w:val="201F1E"/>
          <w:lang w:eastAsia="en-GB"/>
        </w:rPr>
        <w:t xml:space="preserve"> car park area </w:t>
      </w:r>
      <w:r>
        <w:rPr>
          <w:rFonts w:ascii="Calibri" w:eastAsia="Times New Roman" w:hAnsi="Calibri" w:cs="Calibri"/>
          <w:color w:val="201F1E"/>
          <w:lang w:eastAsia="en-GB"/>
        </w:rPr>
        <w:t>(belonging to the</w:t>
      </w:r>
      <w:r w:rsidRPr="00CC31F9">
        <w:rPr>
          <w:rFonts w:ascii="Calibri" w:eastAsia="Times New Roman" w:hAnsi="Calibri" w:cs="Calibri"/>
          <w:color w:val="201F1E"/>
          <w:lang w:eastAsia="en-GB"/>
        </w:rPr>
        <w:t xml:space="preserve"> doctors surgery</w:t>
      </w:r>
      <w:r>
        <w:rPr>
          <w:rFonts w:ascii="Calibri" w:eastAsia="Times New Roman" w:hAnsi="Calibri" w:cs="Calibri"/>
          <w:color w:val="201F1E"/>
          <w:lang w:eastAsia="en-GB"/>
        </w:rPr>
        <w:t>), actually linking it p</w:t>
      </w:r>
      <w:r w:rsidR="00F45811">
        <w:rPr>
          <w:rFonts w:ascii="Calibri" w:eastAsia="Times New Roman" w:hAnsi="Calibri" w:cs="Calibri"/>
          <w:color w:val="201F1E"/>
          <w:lang w:eastAsia="en-GB"/>
        </w:rPr>
        <w:t>hysically to the actual doctors</w:t>
      </w:r>
      <w:r>
        <w:rPr>
          <w:rFonts w:ascii="Calibri" w:eastAsia="Times New Roman" w:hAnsi="Calibri" w:cs="Calibri"/>
          <w:color w:val="201F1E"/>
          <w:lang w:eastAsia="en-GB"/>
        </w:rPr>
        <w:t xml:space="preserve"> surgery, so that it can be utilised by surgery staff and increase patient parking provision at the surgery, as was originally intended, but neve</w:t>
      </w:r>
      <w:r w:rsidR="00FF6335">
        <w:rPr>
          <w:rFonts w:ascii="Calibri" w:eastAsia="Times New Roman" w:hAnsi="Calibri" w:cs="Calibri"/>
          <w:color w:val="201F1E"/>
          <w:lang w:eastAsia="en-GB"/>
        </w:rPr>
        <w:t xml:space="preserve">r </w:t>
      </w:r>
      <w:proofErr w:type="spellStart"/>
      <w:r w:rsidR="00FF6335">
        <w:rPr>
          <w:rFonts w:ascii="Calibri" w:eastAsia="Times New Roman" w:hAnsi="Calibri" w:cs="Calibri"/>
          <w:color w:val="201F1E"/>
          <w:lang w:eastAsia="en-GB"/>
        </w:rPr>
        <w:t>actioned</w:t>
      </w:r>
      <w:proofErr w:type="spellEnd"/>
      <w:r w:rsidR="00FF6335">
        <w:rPr>
          <w:rFonts w:ascii="Calibri" w:eastAsia="Times New Roman" w:hAnsi="Calibri" w:cs="Calibri"/>
          <w:color w:val="201F1E"/>
          <w:lang w:eastAsia="en-GB"/>
        </w:rPr>
        <w:t xml:space="preserve"> by David Wilson Homes.  </w:t>
      </w:r>
      <w:r w:rsidR="00FF6335" w:rsidRPr="00FF6335">
        <w:rPr>
          <w:rFonts w:ascii="Calibri" w:eastAsia="Times New Roman" w:hAnsi="Calibri" w:cs="Calibri"/>
          <w:b/>
          <w:color w:val="002060"/>
          <w:lang w:eastAsia="en-GB"/>
        </w:rPr>
        <w:t>This is helpful to assist with safe access to the doctors surgery and therefore assists in respect of NPPF Section 8.</w:t>
      </w:r>
    </w:p>
    <w:p w:rsidR="00CC31F9" w:rsidRPr="00FF6335" w:rsidRDefault="00CC31F9" w:rsidP="00CC31F9">
      <w:pPr>
        <w:numPr>
          <w:ilvl w:val="0"/>
          <w:numId w:val="1"/>
        </w:numPr>
        <w:shd w:val="clear" w:color="auto" w:fill="FFFFFF"/>
        <w:spacing w:after="0" w:line="240" w:lineRule="auto"/>
        <w:rPr>
          <w:rFonts w:ascii="Calibri" w:eastAsia="Times New Roman" w:hAnsi="Calibri" w:cs="Calibri"/>
          <w:color w:val="002060"/>
          <w:lang w:eastAsia="en-GB"/>
        </w:rPr>
      </w:pPr>
      <w:r w:rsidRPr="00CC31F9">
        <w:rPr>
          <w:rFonts w:ascii="Calibri" w:eastAsia="Times New Roman" w:hAnsi="Calibri" w:cs="Calibri"/>
          <w:color w:val="201F1E"/>
          <w:lang w:eastAsia="en-GB"/>
        </w:rPr>
        <w:t>Landscaping</w:t>
      </w:r>
      <w:r w:rsidR="00D67A98">
        <w:rPr>
          <w:rFonts w:ascii="Calibri" w:eastAsia="Times New Roman" w:hAnsi="Calibri" w:cs="Calibri"/>
          <w:color w:val="201F1E"/>
          <w:lang w:eastAsia="en-GB"/>
        </w:rPr>
        <w:t xml:space="preserve"> </w:t>
      </w:r>
      <w:r w:rsidRPr="00CC31F9">
        <w:rPr>
          <w:rFonts w:ascii="Calibri" w:eastAsia="Times New Roman" w:hAnsi="Calibri" w:cs="Calibri"/>
          <w:color w:val="201F1E"/>
          <w:lang w:eastAsia="en-GB"/>
        </w:rPr>
        <w:t xml:space="preserve">the boundary next to the dual carriageway to mitigate </w:t>
      </w:r>
      <w:r w:rsidR="00FF6335">
        <w:rPr>
          <w:rFonts w:ascii="Calibri" w:eastAsia="Times New Roman" w:hAnsi="Calibri" w:cs="Calibri"/>
          <w:color w:val="201F1E"/>
          <w:lang w:eastAsia="en-GB"/>
        </w:rPr>
        <w:t xml:space="preserve">traffic </w:t>
      </w:r>
      <w:r w:rsidRPr="00CC31F9">
        <w:rPr>
          <w:rFonts w:ascii="Calibri" w:eastAsia="Times New Roman" w:hAnsi="Calibri" w:cs="Calibri"/>
          <w:color w:val="201F1E"/>
          <w:lang w:eastAsia="en-GB"/>
        </w:rPr>
        <w:t>noise</w:t>
      </w:r>
      <w:r>
        <w:rPr>
          <w:rFonts w:ascii="Calibri" w:eastAsia="Times New Roman" w:hAnsi="Calibri" w:cs="Calibri"/>
          <w:color w:val="201F1E"/>
          <w:lang w:eastAsia="en-GB"/>
        </w:rPr>
        <w:t xml:space="preserve"> (</w:t>
      </w:r>
      <w:r w:rsidR="00D67A98">
        <w:rPr>
          <w:rFonts w:ascii="Calibri" w:eastAsia="Times New Roman" w:hAnsi="Calibri" w:cs="Calibri"/>
          <w:color w:val="201F1E"/>
          <w:lang w:eastAsia="en-GB"/>
        </w:rPr>
        <w:t>a large</w:t>
      </w:r>
      <w:r>
        <w:rPr>
          <w:rFonts w:ascii="Calibri" w:eastAsia="Times New Roman" w:hAnsi="Calibri" w:cs="Calibri"/>
          <w:color w:val="201F1E"/>
          <w:lang w:eastAsia="en-GB"/>
        </w:rPr>
        <w:t xml:space="preserve"> earth bund)</w:t>
      </w:r>
      <w:r w:rsidR="00FF6335">
        <w:rPr>
          <w:rFonts w:ascii="Calibri" w:eastAsia="Times New Roman" w:hAnsi="Calibri" w:cs="Calibri"/>
          <w:color w:val="201F1E"/>
          <w:lang w:eastAsia="en-GB"/>
        </w:rPr>
        <w:t xml:space="preserve">.  </w:t>
      </w:r>
      <w:r w:rsidR="00FF6335" w:rsidRPr="00FF6335">
        <w:rPr>
          <w:rFonts w:ascii="Calibri" w:eastAsia="Times New Roman" w:hAnsi="Calibri" w:cs="Calibri"/>
          <w:b/>
          <w:color w:val="002060"/>
          <w:lang w:eastAsia="en-GB"/>
        </w:rPr>
        <w:t>This will not only be of benefit to those living within this development, but will be of benefit to the whole village, especially those living on the David Wilson development and along the Warminster Road</w:t>
      </w:r>
      <w:r w:rsidR="00FF6335">
        <w:rPr>
          <w:rFonts w:ascii="Calibri" w:eastAsia="Times New Roman" w:hAnsi="Calibri" w:cs="Calibri"/>
          <w:b/>
          <w:color w:val="002060"/>
          <w:lang w:eastAsia="en-GB"/>
        </w:rPr>
        <w:t xml:space="preserve">, so </w:t>
      </w:r>
      <w:r w:rsidR="00FF6335" w:rsidRPr="00FF6335">
        <w:rPr>
          <w:rFonts w:ascii="Calibri" w:eastAsia="Times New Roman" w:hAnsi="Calibri" w:cs="Calibri"/>
          <w:b/>
          <w:color w:val="002060"/>
          <w:lang w:eastAsia="en-GB"/>
        </w:rPr>
        <w:t>meets</w:t>
      </w:r>
      <w:r w:rsidR="00FF6335">
        <w:rPr>
          <w:rFonts w:ascii="Calibri" w:eastAsia="Times New Roman" w:hAnsi="Calibri" w:cs="Calibri"/>
          <w:b/>
          <w:color w:val="002060"/>
          <w:lang w:eastAsia="en-GB"/>
        </w:rPr>
        <w:t xml:space="preserve"> NPPF Sections 8, 11, 12 &amp; 15.</w:t>
      </w:r>
    </w:p>
    <w:p w:rsidR="00CC31F9" w:rsidRPr="00473992" w:rsidRDefault="00CC31F9" w:rsidP="00CC31F9">
      <w:pPr>
        <w:numPr>
          <w:ilvl w:val="0"/>
          <w:numId w:val="1"/>
        </w:numPr>
        <w:shd w:val="clear" w:color="auto" w:fill="FFFFFF"/>
        <w:spacing w:after="0" w:line="240" w:lineRule="auto"/>
        <w:rPr>
          <w:rFonts w:ascii="Calibri" w:eastAsia="Times New Roman" w:hAnsi="Calibri" w:cs="Calibri"/>
          <w:b/>
          <w:color w:val="002060"/>
          <w:lang w:eastAsia="en-GB"/>
        </w:rPr>
      </w:pPr>
      <w:r w:rsidRPr="00CC31F9">
        <w:rPr>
          <w:rFonts w:ascii="Calibri" w:eastAsia="Times New Roman" w:hAnsi="Calibri" w:cs="Calibri"/>
          <w:color w:val="201F1E"/>
          <w:lang w:eastAsia="en-GB"/>
        </w:rPr>
        <w:t xml:space="preserve">Contribution to Parish Council for improved play </w:t>
      </w:r>
      <w:r>
        <w:rPr>
          <w:rFonts w:ascii="Calibri" w:eastAsia="Times New Roman" w:hAnsi="Calibri" w:cs="Calibri"/>
          <w:color w:val="201F1E"/>
          <w:lang w:eastAsia="en-GB"/>
        </w:rPr>
        <w:t xml:space="preserve">equipment, community facilities ... </w:t>
      </w:r>
      <w:r w:rsidRPr="00CC31F9">
        <w:rPr>
          <w:rFonts w:ascii="Calibri" w:eastAsia="Times New Roman" w:hAnsi="Calibri" w:cs="Calibri"/>
          <w:color w:val="201F1E"/>
          <w:lang w:eastAsia="en-GB"/>
        </w:rPr>
        <w:t>capped at £130k</w:t>
      </w:r>
      <w:r>
        <w:rPr>
          <w:rFonts w:ascii="Calibri" w:eastAsia="Times New Roman" w:hAnsi="Calibri" w:cs="Calibri"/>
          <w:color w:val="201F1E"/>
          <w:lang w:eastAsia="en-GB"/>
        </w:rPr>
        <w:t xml:space="preserve"> (over and above s106 statutory contribution)</w:t>
      </w:r>
      <w:r w:rsidR="00FF6335">
        <w:rPr>
          <w:rFonts w:ascii="Calibri" w:eastAsia="Times New Roman" w:hAnsi="Calibri" w:cs="Calibri"/>
          <w:color w:val="201F1E"/>
          <w:lang w:eastAsia="en-GB"/>
        </w:rPr>
        <w:t xml:space="preserve">.  </w:t>
      </w:r>
      <w:r w:rsidR="00FF6335" w:rsidRPr="00473992">
        <w:rPr>
          <w:rFonts w:ascii="Calibri" w:eastAsia="Times New Roman" w:hAnsi="Calibri" w:cs="Calibri"/>
          <w:b/>
          <w:color w:val="002060"/>
          <w:lang w:eastAsia="en-GB"/>
        </w:rPr>
        <w:t xml:space="preserve">In a village with no </w:t>
      </w:r>
      <w:r w:rsidR="00473992" w:rsidRPr="00473992">
        <w:rPr>
          <w:rFonts w:ascii="Calibri" w:eastAsia="Times New Roman" w:hAnsi="Calibri" w:cs="Calibri"/>
          <w:b/>
          <w:color w:val="002060"/>
          <w:lang w:eastAsia="en-GB"/>
        </w:rPr>
        <w:t>'</w:t>
      </w:r>
      <w:r w:rsidR="00FF6335" w:rsidRPr="00473992">
        <w:rPr>
          <w:rFonts w:ascii="Calibri" w:eastAsia="Times New Roman" w:hAnsi="Calibri" w:cs="Calibri"/>
          <w:b/>
          <w:color w:val="002060"/>
          <w:lang w:eastAsia="en-GB"/>
        </w:rPr>
        <w:t>free for all</w:t>
      </w:r>
      <w:r w:rsidR="00473992" w:rsidRPr="00473992">
        <w:rPr>
          <w:rFonts w:ascii="Calibri" w:eastAsia="Times New Roman" w:hAnsi="Calibri" w:cs="Calibri"/>
          <w:b/>
          <w:color w:val="002060"/>
          <w:lang w:eastAsia="en-GB"/>
        </w:rPr>
        <w:t>'</w:t>
      </w:r>
      <w:r w:rsidR="00FF6335" w:rsidRPr="00473992">
        <w:rPr>
          <w:rFonts w:ascii="Calibri" w:eastAsia="Times New Roman" w:hAnsi="Calibri" w:cs="Calibri"/>
          <w:b/>
          <w:color w:val="002060"/>
          <w:lang w:eastAsia="en-GB"/>
        </w:rPr>
        <w:t xml:space="preserve"> adult fitness provision, no provision for teenagers, no provision for children aged 5-12</w:t>
      </w:r>
      <w:r w:rsidR="00473992" w:rsidRPr="00473992">
        <w:rPr>
          <w:rFonts w:ascii="Calibri" w:eastAsia="Times New Roman" w:hAnsi="Calibri" w:cs="Calibri"/>
          <w:b/>
          <w:color w:val="002060"/>
          <w:lang w:eastAsia="en-GB"/>
        </w:rPr>
        <w:t xml:space="preserve"> and an existing toddler play provision that is beyond 'tired', t</w:t>
      </w:r>
      <w:r w:rsidR="00FF6335" w:rsidRPr="00473992">
        <w:rPr>
          <w:rFonts w:ascii="Calibri" w:eastAsia="Times New Roman" w:hAnsi="Calibri" w:cs="Calibri"/>
          <w:b/>
          <w:color w:val="002060"/>
          <w:lang w:eastAsia="en-GB"/>
        </w:rPr>
        <w:t>his accords very</w:t>
      </w:r>
      <w:r w:rsidR="00473992" w:rsidRPr="00473992">
        <w:rPr>
          <w:rFonts w:ascii="Calibri" w:eastAsia="Times New Roman" w:hAnsi="Calibri" w:cs="Calibri"/>
          <w:b/>
          <w:color w:val="002060"/>
          <w:lang w:eastAsia="en-GB"/>
        </w:rPr>
        <w:t xml:space="preserve"> favourably with NPPF Section 8.</w:t>
      </w:r>
    </w:p>
    <w:p w:rsidR="00CC31F9" w:rsidRDefault="00CC31F9"/>
    <w:p w:rsidR="00473992" w:rsidRPr="00473992" w:rsidRDefault="00473992">
      <w:pPr>
        <w:rPr>
          <w:b/>
          <w:color w:val="002060"/>
          <w:sz w:val="32"/>
          <w:szCs w:val="32"/>
        </w:rPr>
      </w:pPr>
      <w:r w:rsidRPr="00473992">
        <w:rPr>
          <w:b/>
          <w:color w:val="002060"/>
          <w:sz w:val="32"/>
          <w:szCs w:val="32"/>
        </w:rPr>
        <w:t xml:space="preserve">In summary, this Warminster Road site allocation for 45 units delivers the better holistic plan, in terms of NPPF Sections 2, 3, 5, 8, 9, 11, 12, 14, 15 and 16 for the future sustainable development of </w:t>
      </w:r>
      <w:proofErr w:type="spellStart"/>
      <w:r w:rsidRPr="00473992">
        <w:rPr>
          <w:b/>
          <w:color w:val="002060"/>
          <w:sz w:val="32"/>
          <w:szCs w:val="32"/>
        </w:rPr>
        <w:t>Beckington's</w:t>
      </w:r>
      <w:proofErr w:type="spellEnd"/>
      <w:r w:rsidRPr="00473992">
        <w:rPr>
          <w:b/>
          <w:color w:val="002060"/>
          <w:sz w:val="32"/>
          <w:szCs w:val="32"/>
        </w:rPr>
        <w:t xml:space="preserve"> housing, green space, transport and amenity provision.</w:t>
      </w:r>
    </w:p>
    <w:p w:rsidR="00CC31F9" w:rsidRDefault="00CC31F9"/>
    <w:sectPr w:rsidR="00CC31F9" w:rsidSect="00A71F21">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B75" w:rsidRDefault="00374B75" w:rsidP="005177C8">
      <w:pPr>
        <w:spacing w:after="0" w:line="240" w:lineRule="auto"/>
      </w:pPr>
      <w:r>
        <w:separator/>
      </w:r>
    </w:p>
  </w:endnote>
  <w:endnote w:type="continuationSeparator" w:id="0">
    <w:p w:rsidR="00374B75" w:rsidRDefault="00374B75" w:rsidP="005177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115063"/>
      <w:docPartObj>
        <w:docPartGallery w:val="Page Numbers (Bottom of Page)"/>
        <w:docPartUnique/>
      </w:docPartObj>
    </w:sdtPr>
    <w:sdtContent>
      <w:p w:rsidR="005177C8" w:rsidRDefault="00B957C1">
        <w:pPr>
          <w:pStyle w:val="Footer"/>
          <w:jc w:val="center"/>
        </w:pPr>
        <w:fldSimple w:instr=" PAGE   \* MERGEFORMAT ">
          <w:r w:rsidR="00A36428">
            <w:rPr>
              <w:noProof/>
            </w:rPr>
            <w:t>6</w:t>
          </w:r>
        </w:fldSimple>
      </w:p>
    </w:sdtContent>
  </w:sdt>
  <w:p w:rsidR="005177C8" w:rsidRDefault="005177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B75" w:rsidRDefault="00374B75" w:rsidP="005177C8">
      <w:pPr>
        <w:spacing w:after="0" w:line="240" w:lineRule="auto"/>
      </w:pPr>
      <w:r>
        <w:separator/>
      </w:r>
    </w:p>
  </w:footnote>
  <w:footnote w:type="continuationSeparator" w:id="0">
    <w:p w:rsidR="00374B75" w:rsidRDefault="00374B75" w:rsidP="005177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53416"/>
    <w:multiLevelType w:val="multilevel"/>
    <w:tmpl w:val="B6B4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4C80E97"/>
    <w:multiLevelType w:val="hybridMultilevel"/>
    <w:tmpl w:val="F3B2B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BCF2130"/>
    <w:multiLevelType w:val="hybridMultilevel"/>
    <w:tmpl w:val="DE04C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53134DA"/>
    <w:multiLevelType w:val="hybridMultilevel"/>
    <w:tmpl w:val="862E1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20"/>
  <w:characterSpacingControl w:val="doNotCompress"/>
  <w:footnotePr>
    <w:footnote w:id="-1"/>
    <w:footnote w:id="0"/>
  </w:footnotePr>
  <w:endnotePr>
    <w:endnote w:id="-1"/>
    <w:endnote w:id="0"/>
  </w:endnotePr>
  <w:compat/>
  <w:rsids>
    <w:rsidRoot w:val="00CC31F9"/>
    <w:rsid w:val="0003671F"/>
    <w:rsid w:val="00053985"/>
    <w:rsid w:val="00075426"/>
    <w:rsid w:val="00082860"/>
    <w:rsid w:val="000E7490"/>
    <w:rsid w:val="001656A2"/>
    <w:rsid w:val="001755E9"/>
    <w:rsid w:val="00182025"/>
    <w:rsid w:val="001F3B84"/>
    <w:rsid w:val="002B32E4"/>
    <w:rsid w:val="002D7BD5"/>
    <w:rsid w:val="00332347"/>
    <w:rsid w:val="00374B75"/>
    <w:rsid w:val="003929FA"/>
    <w:rsid w:val="003F0837"/>
    <w:rsid w:val="0043600F"/>
    <w:rsid w:val="0044208E"/>
    <w:rsid w:val="00473992"/>
    <w:rsid w:val="00492224"/>
    <w:rsid w:val="004A4177"/>
    <w:rsid w:val="004F325E"/>
    <w:rsid w:val="005177C8"/>
    <w:rsid w:val="00522400"/>
    <w:rsid w:val="00655ED6"/>
    <w:rsid w:val="006828DB"/>
    <w:rsid w:val="006E0EEF"/>
    <w:rsid w:val="006F1AF2"/>
    <w:rsid w:val="00777626"/>
    <w:rsid w:val="00871968"/>
    <w:rsid w:val="00894C69"/>
    <w:rsid w:val="008D6AC0"/>
    <w:rsid w:val="00912BEB"/>
    <w:rsid w:val="00942DBC"/>
    <w:rsid w:val="009A361E"/>
    <w:rsid w:val="00A017C4"/>
    <w:rsid w:val="00A36428"/>
    <w:rsid w:val="00A71F21"/>
    <w:rsid w:val="00AC3AA9"/>
    <w:rsid w:val="00B1305B"/>
    <w:rsid w:val="00B42736"/>
    <w:rsid w:val="00B460A2"/>
    <w:rsid w:val="00B52EA0"/>
    <w:rsid w:val="00B55C96"/>
    <w:rsid w:val="00B937AB"/>
    <w:rsid w:val="00B95037"/>
    <w:rsid w:val="00B957C1"/>
    <w:rsid w:val="00BF6D89"/>
    <w:rsid w:val="00BF71F8"/>
    <w:rsid w:val="00C05332"/>
    <w:rsid w:val="00C52EA0"/>
    <w:rsid w:val="00C62338"/>
    <w:rsid w:val="00C6275D"/>
    <w:rsid w:val="00CB0E16"/>
    <w:rsid w:val="00CC31F9"/>
    <w:rsid w:val="00CF5EA9"/>
    <w:rsid w:val="00D14618"/>
    <w:rsid w:val="00D46FC5"/>
    <w:rsid w:val="00D67A98"/>
    <w:rsid w:val="00D829AA"/>
    <w:rsid w:val="00DF2CF2"/>
    <w:rsid w:val="00E101A0"/>
    <w:rsid w:val="00E102BA"/>
    <w:rsid w:val="00E36FE8"/>
    <w:rsid w:val="00EA61E9"/>
    <w:rsid w:val="00F14230"/>
    <w:rsid w:val="00F44A41"/>
    <w:rsid w:val="00F45811"/>
    <w:rsid w:val="00FF633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F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31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05332"/>
    <w:pPr>
      <w:ind w:left="720"/>
      <w:contextualSpacing/>
    </w:pPr>
  </w:style>
  <w:style w:type="paragraph" w:styleId="BalloonText">
    <w:name w:val="Balloon Text"/>
    <w:basedOn w:val="Normal"/>
    <w:link w:val="BalloonTextChar"/>
    <w:uiPriority w:val="99"/>
    <w:semiHidden/>
    <w:unhideWhenUsed/>
    <w:rsid w:val="00392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9FA"/>
    <w:rPr>
      <w:rFonts w:ascii="Tahoma" w:hAnsi="Tahoma" w:cs="Tahoma"/>
      <w:sz w:val="16"/>
      <w:szCs w:val="16"/>
    </w:rPr>
  </w:style>
  <w:style w:type="table" w:styleId="TableGrid">
    <w:name w:val="Table Grid"/>
    <w:basedOn w:val="TableNormal"/>
    <w:uiPriority w:val="59"/>
    <w:rsid w:val="005177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177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177C8"/>
  </w:style>
  <w:style w:type="paragraph" w:styleId="Footer">
    <w:name w:val="footer"/>
    <w:basedOn w:val="Normal"/>
    <w:link w:val="FooterChar"/>
    <w:uiPriority w:val="99"/>
    <w:unhideWhenUsed/>
    <w:rsid w:val="005177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7C8"/>
  </w:style>
</w:styles>
</file>

<file path=word/webSettings.xml><?xml version="1.0" encoding="utf-8"?>
<w:webSettings xmlns:r="http://schemas.openxmlformats.org/officeDocument/2006/relationships" xmlns:w="http://schemas.openxmlformats.org/wordprocessingml/2006/main">
  <w:divs>
    <w:div w:id="116682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Laptop</dc:creator>
  <cp:lastModifiedBy>My Laptop</cp:lastModifiedBy>
  <cp:revision>10</cp:revision>
  <dcterms:created xsi:type="dcterms:W3CDTF">2020-03-02T11:41:00Z</dcterms:created>
  <dcterms:modified xsi:type="dcterms:W3CDTF">2020-03-02T13:51:00Z</dcterms:modified>
</cp:coreProperties>
</file>